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C0" w:rsidRDefault="00070808" w:rsidP="004319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UZYSKANIE DECYZJI O ŚRODOWISKOWYCH</w:t>
      </w:r>
      <w:r w:rsidR="0043195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UWARUNKOWANIACH</w:t>
      </w:r>
    </w:p>
    <w:p w:rsidR="00431959" w:rsidRDefault="00431959" w:rsidP="004319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959" w:rsidRDefault="00431959" w:rsidP="004319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959" w:rsidRDefault="00431959" w:rsidP="004319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1959">
        <w:rPr>
          <w:rFonts w:ascii="Times New Roman" w:hAnsi="Times New Roman" w:cs="Times New Roman"/>
          <w:b/>
          <w:u w:val="single"/>
        </w:rPr>
        <w:t>MIEJSCE ZA</w:t>
      </w:r>
      <w:r w:rsidR="000874B9">
        <w:rPr>
          <w:rFonts w:ascii="Times New Roman" w:hAnsi="Times New Roman" w:cs="Times New Roman"/>
          <w:b/>
          <w:u w:val="single"/>
        </w:rPr>
        <w:t>Ł</w:t>
      </w:r>
      <w:r w:rsidRPr="00431959">
        <w:rPr>
          <w:rFonts w:ascii="Times New Roman" w:hAnsi="Times New Roman" w:cs="Times New Roman"/>
          <w:b/>
          <w:u w:val="single"/>
        </w:rPr>
        <w:t>ATWIENIA SPRAWY:</w:t>
      </w:r>
    </w:p>
    <w:p w:rsidR="00431959" w:rsidRDefault="00431959" w:rsidP="004319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D40" w:rsidRPr="00A754F7" w:rsidRDefault="00535D40" w:rsidP="004319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754F7">
        <w:rPr>
          <w:rFonts w:ascii="Times New Roman" w:hAnsi="Times New Roman" w:cs="Times New Roman"/>
          <w:b/>
          <w:i/>
        </w:rPr>
        <w:t>Złożenie wniosku i odbiór dokumentów:</w:t>
      </w:r>
    </w:p>
    <w:p w:rsidR="00535D40" w:rsidRDefault="00535D40" w:rsidP="00A75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4F7">
        <w:rPr>
          <w:rFonts w:ascii="Times New Roman" w:hAnsi="Times New Roman" w:cs="Times New Roman"/>
        </w:rPr>
        <w:t>osobiście lub za pośrednictwem pełnomocnika w budynku Urzędu Gminy i Miasta</w:t>
      </w:r>
      <w:r w:rsidR="00A754F7">
        <w:rPr>
          <w:rFonts w:ascii="Times New Roman" w:hAnsi="Times New Roman" w:cs="Times New Roman"/>
        </w:rPr>
        <w:t xml:space="preserve">                 </w:t>
      </w:r>
      <w:r w:rsidRPr="00A754F7">
        <w:rPr>
          <w:rFonts w:ascii="Times New Roman" w:hAnsi="Times New Roman" w:cs="Times New Roman"/>
        </w:rPr>
        <w:t xml:space="preserve"> w Czerwieńsku</w:t>
      </w:r>
      <w:r w:rsidR="00A754F7" w:rsidRPr="00A754F7">
        <w:rPr>
          <w:rFonts w:ascii="Times New Roman" w:hAnsi="Times New Roman" w:cs="Times New Roman"/>
        </w:rPr>
        <w:t>, ul. Rynek 25, 66-016 Czerwieńsk</w:t>
      </w:r>
      <w:r w:rsidR="008174F1">
        <w:rPr>
          <w:rFonts w:ascii="Times New Roman" w:hAnsi="Times New Roman" w:cs="Times New Roman"/>
        </w:rPr>
        <w:t>, sekretariat I pi</w:t>
      </w:r>
      <w:r w:rsidR="000C4797">
        <w:rPr>
          <w:rFonts w:ascii="Times New Roman" w:hAnsi="Times New Roman" w:cs="Times New Roman"/>
        </w:rPr>
        <w:t>ę</w:t>
      </w:r>
      <w:r w:rsidR="008174F1">
        <w:rPr>
          <w:rFonts w:ascii="Times New Roman" w:hAnsi="Times New Roman" w:cs="Times New Roman"/>
        </w:rPr>
        <w:t>tro</w:t>
      </w:r>
      <w:r w:rsidR="000C4797">
        <w:rPr>
          <w:rFonts w:ascii="Times New Roman" w:hAnsi="Times New Roman" w:cs="Times New Roman"/>
        </w:rPr>
        <w:t>, pokój nr</w:t>
      </w:r>
      <w:r w:rsidR="00F95C88">
        <w:rPr>
          <w:rFonts w:ascii="Times New Roman" w:hAnsi="Times New Roman" w:cs="Times New Roman"/>
        </w:rPr>
        <w:t xml:space="preserve"> 202</w:t>
      </w:r>
      <w:r w:rsidR="000C4797">
        <w:rPr>
          <w:rFonts w:ascii="Times New Roman" w:hAnsi="Times New Roman" w:cs="Times New Roman"/>
        </w:rPr>
        <w:t>,</w:t>
      </w:r>
    </w:p>
    <w:p w:rsidR="000C4797" w:rsidRDefault="00954F4A" w:rsidP="00A75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informacje Referat Gospodarki Gruntami </w:t>
      </w:r>
      <w:r w:rsidR="006D7284">
        <w:rPr>
          <w:rFonts w:ascii="Times New Roman" w:hAnsi="Times New Roman" w:cs="Times New Roman"/>
        </w:rPr>
        <w:t xml:space="preserve">Rolnictwa </w:t>
      </w:r>
      <w:r>
        <w:rPr>
          <w:rFonts w:ascii="Times New Roman" w:hAnsi="Times New Roman" w:cs="Times New Roman"/>
        </w:rPr>
        <w:t>i Ochrony Środowiska ,</w:t>
      </w:r>
      <w:r w:rsidR="006D728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ul. Ogrodowa 9, I piętro, pokój nr 1</w:t>
      </w:r>
      <w:r w:rsidR="00B00D46">
        <w:rPr>
          <w:rFonts w:ascii="Times New Roman" w:hAnsi="Times New Roman" w:cs="Times New Roman"/>
        </w:rPr>
        <w:t xml:space="preserve">, tel. 68/3219059, e-mail: </w:t>
      </w:r>
      <w:hyperlink r:id="rId7" w:history="1">
        <w:r w:rsidR="00B00D46" w:rsidRPr="00FA7778">
          <w:rPr>
            <w:rStyle w:val="Hipercze"/>
            <w:rFonts w:ascii="Times New Roman" w:hAnsi="Times New Roman" w:cs="Times New Roman"/>
          </w:rPr>
          <w:t>ggrios3@czerwiensk.pl</w:t>
        </w:r>
      </w:hyperlink>
      <w:r w:rsidR="00B00D46">
        <w:rPr>
          <w:rFonts w:ascii="Times New Roman" w:hAnsi="Times New Roman" w:cs="Times New Roman"/>
        </w:rPr>
        <w:t>.</w:t>
      </w:r>
    </w:p>
    <w:p w:rsidR="00B00D46" w:rsidRDefault="00B00D46" w:rsidP="00A75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pośrednictwem poczty.</w:t>
      </w:r>
    </w:p>
    <w:p w:rsidR="00B00D46" w:rsidRDefault="00B00D46" w:rsidP="00B0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0D46" w:rsidRDefault="004468F1" w:rsidP="00B00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Wymagane dokumenty:</w:t>
      </w:r>
    </w:p>
    <w:p w:rsidR="004468F1" w:rsidRPr="0066014D" w:rsidRDefault="004468F1" w:rsidP="004468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14D">
        <w:rPr>
          <w:rFonts w:ascii="Times New Roman" w:hAnsi="Times New Roman" w:cs="Times New Roman"/>
          <w:b/>
        </w:rPr>
        <w:t>wniosek o wydanie decyzji o środowiskowych uwarunkowaniach:</w:t>
      </w:r>
    </w:p>
    <w:p w:rsidR="004468F1" w:rsidRDefault="004468F1" w:rsidP="004468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7510">
        <w:rPr>
          <w:rFonts w:ascii="Times New Roman" w:hAnsi="Times New Roman" w:cs="Times New Roman"/>
          <w:b/>
        </w:rPr>
        <w:t>sporządzony samodzielnie przez interesanta</w:t>
      </w:r>
      <w:r>
        <w:rPr>
          <w:rFonts w:ascii="Times New Roman" w:hAnsi="Times New Roman" w:cs="Times New Roman"/>
        </w:rPr>
        <w:t>, zawierający następujące dane:</w:t>
      </w:r>
    </w:p>
    <w:p w:rsidR="004468F1" w:rsidRDefault="004468F1" w:rsidP="004468F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wnioskodawcy (realizującego </w:t>
      </w:r>
      <w:r w:rsidR="00C9502E">
        <w:rPr>
          <w:rFonts w:ascii="Times New Roman" w:hAnsi="Times New Roman" w:cs="Times New Roman"/>
        </w:rPr>
        <w:t xml:space="preserve">przedsięwzięcie): imię, nazwisko lub nazwa i adres zamieszkania </w:t>
      </w:r>
      <w:r w:rsidR="001B06AA">
        <w:rPr>
          <w:rFonts w:ascii="Times New Roman" w:hAnsi="Times New Roman" w:cs="Times New Roman"/>
        </w:rPr>
        <w:t xml:space="preserve">lub siedziby oraz ewentualnie nr tel. kontaktowego, e-mail lub </w:t>
      </w:r>
      <w:r w:rsidR="000F3F17">
        <w:rPr>
          <w:rFonts w:ascii="Times New Roman" w:hAnsi="Times New Roman" w:cs="Times New Roman"/>
        </w:rPr>
        <w:t xml:space="preserve">dane pełnomocnika, </w:t>
      </w:r>
    </w:p>
    <w:p w:rsidR="000F3F17" w:rsidRDefault="000F3F17" w:rsidP="004468F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rodzaj przedsięwzięcia oraz jego lokalizacja,</w:t>
      </w:r>
    </w:p>
    <w:p w:rsidR="000F3F17" w:rsidRDefault="000F3F17" w:rsidP="004468F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określenie celu uzyskania decyzji o środowiskowych uwarunkowaniach,</w:t>
      </w:r>
    </w:p>
    <w:p w:rsidR="000F3F17" w:rsidRDefault="00D761F9" w:rsidP="004468F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określenie sposobu odbioru dokumentów, </w:t>
      </w:r>
    </w:p>
    <w:p w:rsidR="00D761F9" w:rsidRDefault="009A6DEA" w:rsidP="004468F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czytelny podpis,</w:t>
      </w:r>
    </w:p>
    <w:p w:rsidR="009A6DEA" w:rsidRDefault="009A6DEA" w:rsidP="009A6D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7510">
        <w:rPr>
          <w:rFonts w:ascii="Times New Roman" w:hAnsi="Times New Roman" w:cs="Times New Roman"/>
          <w:b/>
        </w:rPr>
        <w:t>lub wniosek według ustalonego wzoru dostępny</w:t>
      </w:r>
      <w:r>
        <w:rPr>
          <w:rFonts w:ascii="Times New Roman" w:hAnsi="Times New Roman" w:cs="Times New Roman"/>
        </w:rPr>
        <w:t xml:space="preserve">: </w:t>
      </w:r>
    </w:p>
    <w:p w:rsidR="006D7284" w:rsidRDefault="006D7284" w:rsidP="006D72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Referacie Gospodarki Gruntami Rolnictwa i Ochrony Środowiska, ul. Ogrodowa 9, </w:t>
      </w:r>
      <w:r w:rsidR="00A6560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I piętro, pokój nr 1,</w:t>
      </w:r>
    </w:p>
    <w:p w:rsidR="006D7284" w:rsidRDefault="00803CAA" w:rsidP="006D72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Biuletynie Informacji Publicznej w dziale: Co i jak za</w:t>
      </w:r>
      <w:r w:rsidR="00A6560E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atwić</w:t>
      </w:r>
      <w:r w:rsidR="0066014D">
        <w:rPr>
          <w:rFonts w:ascii="Times New Roman" w:hAnsi="Times New Roman" w:cs="Times New Roman"/>
        </w:rPr>
        <w:t xml:space="preserve"> / Gospodarka Gruntami, Rolnictwa i Ochrona Środowiska,</w:t>
      </w:r>
    </w:p>
    <w:p w:rsidR="0066014D" w:rsidRPr="00727510" w:rsidRDefault="00727510" w:rsidP="006601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dokumenty wymagane do wniosku:</w:t>
      </w:r>
    </w:p>
    <w:p w:rsidR="00727510" w:rsidRDefault="00727510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karta informacyjna przedsięwzięcia </w:t>
      </w:r>
      <w:r>
        <w:rPr>
          <w:rFonts w:ascii="Times New Roman" w:hAnsi="Times New Roman" w:cs="Times New Roman"/>
        </w:rPr>
        <w:t xml:space="preserve">w odpowiedniej liczbie egzemplarzy wraz z jej zapisem w formie elektronicznej na </w:t>
      </w:r>
      <w:r w:rsidR="0082106F">
        <w:rPr>
          <w:rFonts w:ascii="Times New Roman" w:hAnsi="Times New Roman" w:cs="Times New Roman"/>
        </w:rPr>
        <w:t xml:space="preserve">informatycznych </w:t>
      </w:r>
      <w:r>
        <w:rPr>
          <w:rFonts w:ascii="Times New Roman" w:hAnsi="Times New Roman" w:cs="Times New Roman"/>
        </w:rPr>
        <w:t xml:space="preserve">nośnikach </w:t>
      </w:r>
      <w:r w:rsidR="0082106F">
        <w:rPr>
          <w:rFonts w:ascii="Times New Roman" w:hAnsi="Times New Roman" w:cs="Times New Roman"/>
        </w:rPr>
        <w:t>danych zawierająca podstawowe informacje o przedsięwzięciu (z uwzględnieniem dostępnych wyników innych ocen wpływu na środowisko, przeprowadzonych na podstawie odrębnych przepisów) a w szczególności dane o:</w:t>
      </w:r>
    </w:p>
    <w:p w:rsidR="004A55B1" w:rsidRPr="004A55B1" w:rsidRDefault="004A55B1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4A55B1">
        <w:rPr>
          <w:rFonts w:ascii="Times New Roman" w:hAnsi="Times New Roman" w:cs="Times New Roman"/>
        </w:rPr>
        <w:t>rodzaju, cechach, skali i usytuowaniu przedsięwzięcia,</w:t>
      </w:r>
    </w:p>
    <w:p w:rsidR="004A55B1" w:rsidRDefault="004A55B1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powierzchni zajmowanej nieruchomości, a także obiektu budowlanego oraz dotychczasowym sposobie ich wykorzystania i pokryciu nieruchomości szatą roślinną,</w:t>
      </w:r>
    </w:p>
    <w:p w:rsidR="004A55B1" w:rsidRDefault="004A55B1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rodzaju technologii,</w:t>
      </w:r>
    </w:p>
    <w:p w:rsidR="004A55B1" w:rsidRDefault="004A55B1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ewentualnych wariantach przedsięwzięcia, przy czym w przypadku drogi w transeuropejskiej sieci drogowej każdy z analizowanych wariantów drogi musi być dopuszczalny pod względem bezpieczeństwa ruchu drogowego,</w:t>
      </w:r>
    </w:p>
    <w:p w:rsidR="004A55B1" w:rsidRDefault="004A55B1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przewidywanej ilości wykorzystywanej wody, surowców, materiałów, paliw, oraz energii,</w:t>
      </w:r>
    </w:p>
    <w:p w:rsidR="004A55B1" w:rsidRDefault="004A55B1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</w:t>
      </w:r>
      <w:r w:rsidR="00665C5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zani</w:t>
      </w:r>
      <w:r w:rsidR="00665C5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ch chroniących środowisko,</w:t>
      </w:r>
    </w:p>
    <w:p w:rsidR="00665C5E" w:rsidRDefault="00665C5E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rodzajach i przewidywanej ilości wprowadzanych do środowiska substancji lub energii przy zastosowaniu rozwiązań chroniących środowisko,</w:t>
      </w:r>
    </w:p>
    <w:p w:rsidR="00665C5E" w:rsidRDefault="00665C5E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możliwym transgranicznym oddziaływaniu na środowisko,</w:t>
      </w:r>
    </w:p>
    <w:p w:rsidR="00665C5E" w:rsidRDefault="00351ED6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6C7C1B">
        <w:rPr>
          <w:rFonts w:ascii="Times New Roman" w:hAnsi="Times New Roman" w:cs="Times New Roman"/>
        </w:rPr>
        <w:t xml:space="preserve">bszarach podlegających ochronie na podstawie ustawy z dnia 16 kwietnia 2004 r. </w:t>
      </w:r>
      <w:r>
        <w:rPr>
          <w:rFonts w:ascii="Times New Roman" w:hAnsi="Times New Roman" w:cs="Times New Roman"/>
        </w:rPr>
        <w:t xml:space="preserve">                </w:t>
      </w:r>
      <w:r w:rsidR="006C7C1B" w:rsidRPr="00351ED6">
        <w:rPr>
          <w:rFonts w:ascii="Times New Roman" w:hAnsi="Times New Roman" w:cs="Times New Roman"/>
          <w:i/>
        </w:rPr>
        <w:t>o</w:t>
      </w:r>
      <w:r w:rsidRPr="00351ED6">
        <w:rPr>
          <w:rFonts w:ascii="Times New Roman" w:hAnsi="Times New Roman" w:cs="Times New Roman"/>
          <w:i/>
        </w:rPr>
        <w:t xml:space="preserve"> </w:t>
      </w:r>
      <w:r w:rsidR="006C7C1B" w:rsidRPr="00351ED6">
        <w:rPr>
          <w:rFonts w:ascii="Times New Roman" w:hAnsi="Times New Roman" w:cs="Times New Roman"/>
          <w:i/>
        </w:rPr>
        <w:t xml:space="preserve">ochronię przyrody </w:t>
      </w:r>
      <w:r w:rsidR="006C7C1B">
        <w:rPr>
          <w:rFonts w:ascii="Times New Roman" w:hAnsi="Times New Roman" w:cs="Times New Roman"/>
        </w:rPr>
        <w:t>oraz korytarzach ekologicznych, znajdujących się w zasięgu znaczącego oddziaływania przedsięwzięcia,</w:t>
      </w:r>
    </w:p>
    <w:p w:rsidR="006C7C1B" w:rsidRDefault="006C7C1B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wpływie planowanej drogi na bezpieczeństwo ruchu drogowego w przypadku drogi w transeuropejskiej sieci drogowej,</w:t>
      </w:r>
    </w:p>
    <w:p w:rsidR="00AB590A" w:rsidRDefault="00AB590A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przedsięwzięciach realizowanych i zrealizowanych, znajdujących się na terenie, na którym planuje się realizację przedsię</w:t>
      </w:r>
      <w:r w:rsidR="00B10894">
        <w:rPr>
          <w:rFonts w:ascii="Times New Roman" w:hAnsi="Times New Roman" w:cs="Times New Roman"/>
        </w:rPr>
        <w:t xml:space="preserve">wzięcia, oraz w obszarze oddziaływania przedsięwzięcia lub których oddziaływania mieszczą się w obszarze oddziaływania planowanego przedsięwzięcia  </w:t>
      </w:r>
      <w:r w:rsidR="00B10894">
        <w:rPr>
          <w:rFonts w:ascii="Times New Roman" w:hAnsi="Times New Roman" w:cs="Times New Roman"/>
        </w:rPr>
        <w:lastRenderedPageBreak/>
        <w:t>- w zakresie, w jakim ich oddziaływania mogą prowadzić do skumulowania oddzia</w:t>
      </w:r>
      <w:r w:rsidR="00BE2700">
        <w:rPr>
          <w:rFonts w:ascii="Times New Roman" w:hAnsi="Times New Roman" w:cs="Times New Roman"/>
        </w:rPr>
        <w:t>ł</w:t>
      </w:r>
      <w:r w:rsidR="00B10894">
        <w:rPr>
          <w:rFonts w:ascii="Times New Roman" w:hAnsi="Times New Roman" w:cs="Times New Roman"/>
        </w:rPr>
        <w:t>ywań z planowanym przedsięwzięciem,</w:t>
      </w:r>
    </w:p>
    <w:p w:rsidR="00BE2700" w:rsidRDefault="00BE2700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ryzyku wystąpienia poważnej awarii lub katastrofy naturalnej i budowlanej, - przewidywanych ilościach i rodzajach wytwarzanych odpadów oraz ich wpływie na środowisko,</w:t>
      </w:r>
    </w:p>
    <w:p w:rsidR="00BE2700" w:rsidRDefault="00BE2700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pracach rozbiórkowych dotyczących przedsięwzięć mogących znacząco oddziaływać na środowisko,</w:t>
      </w:r>
    </w:p>
    <w:p w:rsidR="00BE4F89" w:rsidRDefault="00BE2700" w:rsidP="00BE4F8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36D2">
        <w:rPr>
          <w:rFonts w:ascii="Times New Roman" w:hAnsi="Times New Roman" w:cs="Times New Roman"/>
        </w:rPr>
        <w:t xml:space="preserve"> </w:t>
      </w:r>
      <w:r w:rsidR="000C36D2">
        <w:rPr>
          <w:rFonts w:ascii="Times New Roman" w:hAnsi="Times New Roman" w:cs="Times New Roman"/>
          <w:b/>
        </w:rPr>
        <w:t xml:space="preserve">lub karta informacyjna przedsięwzięcia </w:t>
      </w:r>
      <w:r w:rsidR="00E662BF" w:rsidRPr="00E662BF">
        <w:rPr>
          <w:rFonts w:ascii="Times New Roman" w:hAnsi="Times New Roman" w:cs="Times New Roman"/>
        </w:rPr>
        <w:t xml:space="preserve">według </w:t>
      </w:r>
      <w:r w:rsidR="00E662BF">
        <w:rPr>
          <w:rFonts w:ascii="Times New Roman" w:hAnsi="Times New Roman" w:cs="Times New Roman"/>
        </w:rPr>
        <w:t xml:space="preserve">ustalonego </w:t>
      </w:r>
      <w:r w:rsidR="00E662BF" w:rsidRPr="00E662BF">
        <w:rPr>
          <w:rFonts w:ascii="Times New Roman" w:hAnsi="Times New Roman" w:cs="Times New Roman"/>
        </w:rPr>
        <w:t xml:space="preserve">wzoru </w:t>
      </w:r>
      <w:r w:rsidR="00BE4F89">
        <w:rPr>
          <w:rFonts w:ascii="Times New Roman" w:hAnsi="Times New Roman" w:cs="Times New Roman"/>
        </w:rPr>
        <w:t xml:space="preserve">(w odpowiedniej liczbie egzemplarzy wraz z jej zapisem w formie elektronicznej na nośnikach danych – więcej w dodatkowych informacjach) </w:t>
      </w:r>
      <w:r w:rsidR="00E662BF">
        <w:rPr>
          <w:rFonts w:ascii="Times New Roman" w:hAnsi="Times New Roman" w:cs="Times New Roman"/>
        </w:rPr>
        <w:t>dostępna w siedzibie Urzęd</w:t>
      </w:r>
      <w:r w:rsidR="00711618">
        <w:rPr>
          <w:rFonts w:ascii="Times New Roman" w:hAnsi="Times New Roman" w:cs="Times New Roman"/>
        </w:rPr>
        <w:t xml:space="preserve">zie Gminy i Miasta w Czerwieńsku – Referat Gospodarki Gruntami i Ochrony Środowiska, ul. Ogrodowa 9,I piętro, pokój nr 1 oraz w </w:t>
      </w:r>
      <w:r w:rsidR="00BE4F89">
        <w:rPr>
          <w:rFonts w:ascii="Times New Roman" w:hAnsi="Times New Roman" w:cs="Times New Roman"/>
        </w:rPr>
        <w:t>Biuletynie Informacji Publicznej w dziale: Co i jak załatwić / Gospodarka Gruntami, Rolnictwa i Ochrona Środowiska,</w:t>
      </w:r>
    </w:p>
    <w:p w:rsidR="00F74376" w:rsidRDefault="00F74376" w:rsidP="00BE4F8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308C">
        <w:rPr>
          <w:rFonts w:ascii="Times New Roman" w:hAnsi="Times New Roman" w:cs="Times New Roman"/>
          <w:b/>
        </w:rPr>
        <w:t xml:space="preserve">raport o oddziaływaniu przedsięwzięcia na środowisko </w:t>
      </w:r>
      <w:r>
        <w:rPr>
          <w:rFonts w:ascii="Times New Roman" w:hAnsi="Times New Roman" w:cs="Times New Roman"/>
        </w:rPr>
        <w:t>w odpowiedniej liczbie egzemplarzy wraz z jego zapisem w formie elektronicznej na nośnikach danych (</w:t>
      </w:r>
      <w:r w:rsidRPr="00FC308C">
        <w:rPr>
          <w:rFonts w:ascii="Times New Roman" w:hAnsi="Times New Roman" w:cs="Times New Roman"/>
          <w:b/>
        </w:rPr>
        <w:t xml:space="preserve">tylko w przypadku przedsięwzięć mogących zawsze znacząco oddziaływać na środowisko </w:t>
      </w:r>
      <w:r>
        <w:rPr>
          <w:rFonts w:ascii="Times New Roman" w:hAnsi="Times New Roman" w:cs="Times New Roman"/>
        </w:rPr>
        <w:t xml:space="preserve">– więcej </w:t>
      </w:r>
      <w:r w:rsidR="00FC308C">
        <w:rPr>
          <w:rFonts w:ascii="Times New Roman" w:hAnsi="Times New Roman" w:cs="Times New Roman"/>
        </w:rPr>
        <w:t>w dodatkowych informacjach),</w:t>
      </w:r>
    </w:p>
    <w:p w:rsidR="00656AFD" w:rsidRDefault="00A6322C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- </w:t>
      </w:r>
      <w:r w:rsidRPr="00A6322C">
        <w:rPr>
          <w:rFonts w:ascii="Times New Roman" w:hAnsi="Times New Roman" w:cs="Times New Roman"/>
        </w:rPr>
        <w:t>poświadczona przez właściwy organ kopia mapy ewidencyjnej</w:t>
      </w:r>
      <w:r>
        <w:rPr>
          <w:rFonts w:ascii="Times New Roman" w:hAnsi="Times New Roman" w:cs="Times New Roman"/>
        </w:rPr>
        <w:t xml:space="preserve">, w postaci papierowej </w:t>
      </w:r>
      <w:r>
        <w:rPr>
          <w:rFonts w:ascii="Times New Roman" w:hAnsi="Times New Roman" w:cs="Times New Roman"/>
          <w:b/>
        </w:rPr>
        <w:t xml:space="preserve">lub </w:t>
      </w:r>
      <w:r>
        <w:rPr>
          <w:rFonts w:ascii="Times New Roman" w:hAnsi="Times New Roman" w:cs="Times New Roman"/>
        </w:rPr>
        <w:t xml:space="preserve">elektronicznej, obejmująca przewidywany teren, na którym będzie </w:t>
      </w:r>
      <w:r w:rsidR="00B46D70">
        <w:rPr>
          <w:rFonts w:ascii="Times New Roman" w:hAnsi="Times New Roman" w:cs="Times New Roman"/>
        </w:rPr>
        <w:t xml:space="preserve">realizowane przedsięwzięcie, oraz z zaznaczonym przewidywanym obszarem, na który będzie oddziaływać przedsięwzięcie </w:t>
      </w:r>
      <w:r w:rsidR="000D1FE9">
        <w:rPr>
          <w:rFonts w:ascii="Times New Roman" w:hAnsi="Times New Roman" w:cs="Times New Roman"/>
        </w:rPr>
        <w:t>(więcej w dodatkowych informacjach)</w:t>
      </w:r>
      <w:r w:rsidR="00F26041">
        <w:rPr>
          <w:rFonts w:ascii="Times New Roman" w:hAnsi="Times New Roman" w:cs="Times New Roman"/>
        </w:rPr>
        <w:t>, sporządzona na podkładzie wykonanym na podstawie kopii mapy ewidencyjnej,</w:t>
      </w:r>
    </w:p>
    <w:p w:rsidR="00F26041" w:rsidRDefault="00F26041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26041">
        <w:rPr>
          <w:rFonts w:ascii="Times New Roman" w:hAnsi="Times New Roman" w:cs="Times New Roman"/>
        </w:rPr>
        <w:t>w przypadku przedsięwzięć wymagających koncesji lub decyzji, o których mowa</w:t>
      </w:r>
      <w:r>
        <w:rPr>
          <w:rFonts w:ascii="Times New Roman" w:hAnsi="Times New Roman" w:cs="Times New Roman"/>
        </w:rPr>
        <w:t xml:space="preserve"> w art. 72 ust. 1 pkt 4-5 ustawy </w:t>
      </w:r>
      <w:r w:rsidRPr="00351ED6">
        <w:rPr>
          <w:rFonts w:ascii="Times New Roman" w:hAnsi="Times New Roman" w:cs="Times New Roman"/>
          <w:i/>
        </w:rPr>
        <w:t>o udostępnianiu informacji o środowisku i jego ochronie, udziale społeczeństwa w ochronie środowiska oraz ocenach oddziaływania na środowisko</w:t>
      </w:r>
      <w:r>
        <w:rPr>
          <w:rFonts w:ascii="Times New Roman" w:hAnsi="Times New Roman" w:cs="Times New Roman"/>
        </w:rPr>
        <w:t>, prowadzonych w granicach przestrzeni niestanowiącej części składowej nieruchomości gruntowej, oraz przedsięwzięć dotyczących urządzeń piętrzących I, II, III klasy budowli, inwestycji w zakresie ter</w:t>
      </w:r>
      <w:r w:rsidR="00EB485B">
        <w:rPr>
          <w:rFonts w:ascii="Times New Roman" w:hAnsi="Times New Roman" w:cs="Times New Roman"/>
        </w:rPr>
        <w:t>minalu oraz strategicznej inwestycji w sektorze naftowym, zamiast kopii mapy, o której mowa powyżej, mapa przedstawi</w:t>
      </w:r>
      <w:r w:rsidR="009A3C4D">
        <w:rPr>
          <w:rFonts w:ascii="Times New Roman" w:hAnsi="Times New Roman" w:cs="Times New Roman"/>
        </w:rPr>
        <w:t>a</w:t>
      </w:r>
      <w:r w:rsidR="00EB485B">
        <w:rPr>
          <w:rFonts w:ascii="Times New Roman" w:hAnsi="Times New Roman" w:cs="Times New Roman"/>
        </w:rPr>
        <w:t>j</w:t>
      </w:r>
      <w:r w:rsidR="009A3C4D">
        <w:rPr>
          <w:rFonts w:ascii="Times New Roman" w:hAnsi="Times New Roman" w:cs="Times New Roman"/>
        </w:rPr>
        <w:t>ą</w:t>
      </w:r>
      <w:r w:rsidR="00EB485B">
        <w:rPr>
          <w:rFonts w:ascii="Times New Roman" w:hAnsi="Times New Roman" w:cs="Times New Roman"/>
        </w:rPr>
        <w:t xml:space="preserve">ca dane sytuacyjne i wysokościowe, sporządzona w skali umożliwiającej szczegółowe przedstawienie przebiegu granic terenu, którego wniosek dotyczy, </w:t>
      </w:r>
      <w:r w:rsidR="009A3C4D">
        <w:rPr>
          <w:rFonts w:ascii="Times New Roman" w:hAnsi="Times New Roman" w:cs="Times New Roman"/>
        </w:rPr>
        <w:t>o</w:t>
      </w:r>
      <w:r w:rsidR="00EB485B">
        <w:rPr>
          <w:rFonts w:ascii="Times New Roman" w:hAnsi="Times New Roman" w:cs="Times New Roman"/>
        </w:rPr>
        <w:t>raz obejmuj</w:t>
      </w:r>
      <w:r w:rsidR="009A3C4D">
        <w:rPr>
          <w:rFonts w:ascii="Times New Roman" w:hAnsi="Times New Roman" w:cs="Times New Roman"/>
        </w:rPr>
        <w:t>ą</w:t>
      </w:r>
      <w:r w:rsidR="00EB485B">
        <w:rPr>
          <w:rFonts w:ascii="Times New Roman" w:hAnsi="Times New Roman" w:cs="Times New Roman"/>
        </w:rPr>
        <w:t xml:space="preserve">ca obszar, na który będzie oddziaływać przedsięwzięcie </w:t>
      </w:r>
      <w:r w:rsidR="009A3C4D">
        <w:rPr>
          <w:rFonts w:ascii="Times New Roman" w:hAnsi="Times New Roman" w:cs="Times New Roman"/>
        </w:rPr>
        <w:t>(więcej  dodatkowych informacjach),</w:t>
      </w:r>
    </w:p>
    <w:p w:rsidR="009A3C4D" w:rsidRDefault="00744AA3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wypis z rejestru gruntów lub inny dokument (np. wykaz podmiotów) </w:t>
      </w:r>
      <w:r w:rsidR="00C50C3D">
        <w:rPr>
          <w:rFonts w:ascii="Times New Roman" w:hAnsi="Times New Roman" w:cs="Times New Roman"/>
        </w:rPr>
        <w:t xml:space="preserve">w postaci papierowej </w:t>
      </w:r>
      <w:r w:rsidR="00C50C3D">
        <w:rPr>
          <w:rFonts w:ascii="Times New Roman" w:hAnsi="Times New Roman" w:cs="Times New Roman"/>
          <w:b/>
        </w:rPr>
        <w:t xml:space="preserve">lub </w:t>
      </w:r>
      <w:r w:rsidR="00C50C3D" w:rsidRPr="00C50C3D">
        <w:rPr>
          <w:rFonts w:ascii="Times New Roman" w:hAnsi="Times New Roman" w:cs="Times New Roman"/>
        </w:rPr>
        <w:t xml:space="preserve">elektronicznej wydany przez organ prowadzący ewidencje gruntów i budynków, </w:t>
      </w:r>
      <w:r w:rsidR="00C50C3D">
        <w:rPr>
          <w:rFonts w:ascii="Times New Roman" w:hAnsi="Times New Roman" w:cs="Times New Roman"/>
        </w:rPr>
        <w:t xml:space="preserve">pozwalający na ustalenie stron postępowania, zawierający co najmniej numer działki ewidencyjnej oraz, o ile zostały ujawnione: </w:t>
      </w:r>
      <w:r w:rsidR="00094DD3">
        <w:rPr>
          <w:rFonts w:ascii="Times New Roman" w:hAnsi="Times New Roman" w:cs="Times New Roman"/>
        </w:rPr>
        <w:t xml:space="preserve">numer jej księgi wieczystej, imię i  nazwisko albo nazwę oraz adres podmiotu ewidencyjnego, obejmujący przewidywany teren, na którym będzie </w:t>
      </w:r>
      <w:r w:rsidR="0098492C">
        <w:rPr>
          <w:rFonts w:ascii="Times New Roman" w:hAnsi="Times New Roman" w:cs="Times New Roman"/>
        </w:rPr>
        <w:t xml:space="preserve">realizowane przedsięwzięcie oraz obejmujący obszar, na który będzie oddziaływać przedsięwzięcie (więcej w dodatkowych informacjach) – nie wymaga się dołączenia tego dokumentu, jeżeli liczba stron postępowania w sprawie wydania decyzji </w:t>
      </w:r>
      <w:r w:rsidR="00256C19">
        <w:rPr>
          <w:rFonts w:ascii="Times New Roman" w:hAnsi="Times New Roman" w:cs="Times New Roman"/>
        </w:rPr>
        <w:t>o środowiskowych uwarunkowaniach przekracza 10,</w:t>
      </w:r>
    </w:p>
    <w:p w:rsidR="00256C19" w:rsidRDefault="00256C19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B10EC2">
        <w:rPr>
          <w:rFonts w:ascii="Times New Roman" w:hAnsi="Times New Roman" w:cs="Times New Roman"/>
        </w:rPr>
        <w:t>w przypadku przedsięwzięć wymagających decyzji o zezwoleniu na realizację inwestycji drogowej, wykaz działek przewidzianych do prowadzenia prac przygotowawczych polegających na wycince drzew i krzewów, o ile takie przewidziane są do realizacji,</w:t>
      </w:r>
    </w:p>
    <w:p w:rsidR="00BB39B3" w:rsidRDefault="00BB39B3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analiza kosztów i korzyści, o której mowa w art. 10a ust. 1 ustawy z dnia 10 kwietnia 1997 r. </w:t>
      </w:r>
      <w:r>
        <w:rPr>
          <w:rFonts w:ascii="Times New Roman" w:hAnsi="Times New Roman" w:cs="Times New Roman"/>
          <w:i/>
        </w:rPr>
        <w:t>Prawo energetyczne,</w:t>
      </w:r>
      <w:r>
        <w:rPr>
          <w:rFonts w:ascii="Times New Roman" w:hAnsi="Times New Roman" w:cs="Times New Roman"/>
        </w:rPr>
        <w:t xml:space="preserve"> w przypadku wniosku składanego dla przedsięwzięć polegających na budowie, przebudowie lub znacznej modernizacji jednostki wytwórczej o mocy nominalnej cieplnej powyżej 20 MW , sieci ciepłowniczej lub chłodniczej realizowanych przez przedsię</w:t>
      </w:r>
      <w:r w:rsidR="007C5456">
        <w:rPr>
          <w:rFonts w:ascii="Times New Roman" w:hAnsi="Times New Roman" w:cs="Times New Roman"/>
        </w:rPr>
        <w:t>biorstwa energetyczne zajmujące się wytwarzaniem energii elektrycznej lub ciepła, przesyłaniem i dystrybucją ciepła oraz innych przedsięb</w:t>
      </w:r>
      <w:r w:rsidR="006709B0">
        <w:rPr>
          <w:rFonts w:ascii="Times New Roman" w:hAnsi="Times New Roman" w:cs="Times New Roman"/>
        </w:rPr>
        <w:t>iorcó</w:t>
      </w:r>
      <w:r w:rsidR="007C5456">
        <w:rPr>
          <w:rFonts w:ascii="Times New Roman" w:hAnsi="Times New Roman" w:cs="Times New Roman"/>
        </w:rPr>
        <w:t>w,</w:t>
      </w:r>
    </w:p>
    <w:p w:rsidR="006709B0" w:rsidRDefault="006709B0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oryginał lub urzędowo poświadczony odpis pełnomocnictwa – jeżeli wnioskodawca jest reprezentowany przez pełnomocnika,</w:t>
      </w:r>
    </w:p>
    <w:p w:rsidR="006709B0" w:rsidRDefault="006709B0" w:rsidP="007275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dowód wniesionej opłaty skarbowej.</w:t>
      </w:r>
    </w:p>
    <w:p w:rsidR="007C5456" w:rsidRDefault="007C5456" w:rsidP="000874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B9" w:rsidRPr="000874B9" w:rsidRDefault="000874B9" w:rsidP="000874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B9" w:rsidRDefault="000874B9" w:rsidP="000874B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TERMIN </w:t>
      </w:r>
      <w:r w:rsidRPr="00431959">
        <w:rPr>
          <w:rFonts w:ascii="Times New Roman" w:hAnsi="Times New Roman" w:cs="Times New Roman"/>
          <w:b/>
          <w:u w:val="single"/>
        </w:rPr>
        <w:t>ZA</w:t>
      </w:r>
      <w:r>
        <w:rPr>
          <w:rFonts w:ascii="Times New Roman" w:hAnsi="Times New Roman" w:cs="Times New Roman"/>
          <w:b/>
          <w:u w:val="single"/>
        </w:rPr>
        <w:t>Ł</w:t>
      </w:r>
      <w:r w:rsidRPr="00431959">
        <w:rPr>
          <w:rFonts w:ascii="Times New Roman" w:hAnsi="Times New Roman" w:cs="Times New Roman"/>
          <w:b/>
          <w:u w:val="single"/>
        </w:rPr>
        <w:t>ATWIENIA SPRAWY:</w:t>
      </w:r>
    </w:p>
    <w:p w:rsidR="000874B9" w:rsidRDefault="000874B9" w:rsidP="000874B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44D95" w:rsidRPr="00744D95" w:rsidRDefault="00744D95" w:rsidP="00744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 ciągu 60 dni zgodnie z prawem.</w:t>
      </w:r>
    </w:p>
    <w:p w:rsidR="00744D95" w:rsidRDefault="00744D95" w:rsidP="00744D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44D95" w:rsidRPr="00744D95" w:rsidRDefault="00744D95" w:rsidP="00744D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44D95" w:rsidRDefault="00744D95" w:rsidP="00744D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SPOSÓB </w:t>
      </w:r>
      <w:r w:rsidRPr="00431959">
        <w:rPr>
          <w:rFonts w:ascii="Times New Roman" w:hAnsi="Times New Roman" w:cs="Times New Roman"/>
          <w:b/>
          <w:u w:val="single"/>
        </w:rPr>
        <w:t>ZA</w:t>
      </w:r>
      <w:r>
        <w:rPr>
          <w:rFonts w:ascii="Times New Roman" w:hAnsi="Times New Roman" w:cs="Times New Roman"/>
          <w:b/>
          <w:u w:val="single"/>
        </w:rPr>
        <w:t>Ł</w:t>
      </w:r>
      <w:r w:rsidRPr="00431959">
        <w:rPr>
          <w:rFonts w:ascii="Times New Roman" w:hAnsi="Times New Roman" w:cs="Times New Roman"/>
          <w:b/>
          <w:u w:val="single"/>
        </w:rPr>
        <w:t>ATWIENIA SPRAWY:</w:t>
      </w:r>
    </w:p>
    <w:p w:rsidR="00744D95" w:rsidRDefault="00744D95" w:rsidP="00744D9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44D95" w:rsidRPr="00F17BCB" w:rsidRDefault="00024688" w:rsidP="00744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decyzja o środowiskowych uwarunkowaniach.</w:t>
      </w:r>
    </w:p>
    <w:p w:rsidR="00F17BCB" w:rsidRDefault="00F17BCB" w:rsidP="00F17BC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82B12" w:rsidRDefault="00F17BCB" w:rsidP="00F17BC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OPŁATY</w:t>
      </w:r>
    </w:p>
    <w:p w:rsidR="00F17BCB" w:rsidRDefault="00F17BCB" w:rsidP="00F17BC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878F9" w:rsidRPr="00D878F9" w:rsidRDefault="008B28B4" w:rsidP="008B28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8B4">
        <w:rPr>
          <w:rFonts w:ascii="Times New Roman" w:hAnsi="Times New Roman" w:cs="Times New Roman"/>
          <w:b/>
        </w:rPr>
        <w:t xml:space="preserve">opłata </w:t>
      </w:r>
      <w:r>
        <w:rPr>
          <w:rFonts w:ascii="Times New Roman" w:hAnsi="Times New Roman" w:cs="Times New Roman"/>
          <w:b/>
        </w:rPr>
        <w:t xml:space="preserve">skarbowa w wysokości: 205,00 zł </w:t>
      </w:r>
      <w:r w:rsidR="00A06ACE">
        <w:rPr>
          <w:rFonts w:ascii="Times New Roman" w:hAnsi="Times New Roman" w:cs="Times New Roman"/>
        </w:rPr>
        <w:t>za decyzję o środowiskowych uwarunkowaniach</w:t>
      </w:r>
      <w:r w:rsidR="00D878F9">
        <w:rPr>
          <w:rFonts w:ascii="Times New Roman" w:hAnsi="Times New Roman" w:cs="Times New Roman"/>
        </w:rPr>
        <w:t>,</w:t>
      </w:r>
    </w:p>
    <w:p w:rsidR="00D878F9" w:rsidRPr="00D878F9" w:rsidRDefault="00D878F9" w:rsidP="008B28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opłata skarbowa w wysokości 17,00 zł </w:t>
      </w:r>
      <w:r>
        <w:rPr>
          <w:rFonts w:ascii="Times New Roman" w:hAnsi="Times New Roman" w:cs="Times New Roman"/>
        </w:rPr>
        <w:t>za złożenie pełnomocnictwa,</w:t>
      </w:r>
    </w:p>
    <w:p w:rsidR="008431F2" w:rsidRPr="004C3EFC" w:rsidRDefault="00D878F9" w:rsidP="008B28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opłatę skarbową można uiszczać:</w:t>
      </w:r>
      <w:r w:rsidR="00A06ACE">
        <w:rPr>
          <w:rFonts w:ascii="Times New Roman" w:hAnsi="Times New Roman" w:cs="Times New Roman"/>
        </w:rPr>
        <w:t xml:space="preserve"> </w:t>
      </w:r>
    </w:p>
    <w:p w:rsidR="004C3EFC" w:rsidRDefault="00952C2E" w:rsidP="004C3EF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kasie Urzędu Gminy i Miasta, ul. Rynek 25, (parter) pokój nr 108, w godzinach: pon.: 8.30 – 14.30, wt. – pt.: 7.30 – 14.00 (możliwość uiszczenia opłaty kartą płatniczą),</w:t>
      </w:r>
    </w:p>
    <w:p w:rsidR="00952C2E" w:rsidRPr="00453E8C" w:rsidRDefault="00952C2E" w:rsidP="004C3E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AC40E7">
        <w:rPr>
          <w:rFonts w:ascii="Times New Roman" w:hAnsi="Times New Roman" w:cs="Times New Roman"/>
        </w:rPr>
        <w:t xml:space="preserve">przelewem na konto Urzędu: </w:t>
      </w:r>
      <w:r w:rsidR="00453E8C" w:rsidRPr="00453E8C">
        <w:rPr>
          <w:rFonts w:ascii="Times New Roman" w:hAnsi="Times New Roman" w:cs="Times New Roman"/>
        </w:rPr>
        <w:t>PKO BP S.A. I o/Zielona Góra</w:t>
      </w:r>
      <w:r w:rsidR="00453E8C">
        <w:rPr>
          <w:rFonts w:ascii="Times New Roman" w:hAnsi="Times New Roman" w:cs="Times New Roman"/>
        </w:rPr>
        <w:t xml:space="preserve"> 09 10205402 0000 0602 0027 6733.</w:t>
      </w:r>
    </w:p>
    <w:p w:rsidR="00F17BCB" w:rsidRPr="00F17BCB" w:rsidRDefault="00F17BCB" w:rsidP="00F17BC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53E8C" w:rsidRDefault="00453E8C" w:rsidP="00453E8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TRYB ODWOŁAWCZY</w:t>
      </w:r>
      <w:r w:rsidRPr="00431959">
        <w:rPr>
          <w:rFonts w:ascii="Times New Roman" w:hAnsi="Times New Roman" w:cs="Times New Roman"/>
          <w:b/>
          <w:u w:val="single"/>
        </w:rPr>
        <w:t>:</w:t>
      </w:r>
    </w:p>
    <w:p w:rsidR="00453E8C" w:rsidRDefault="00453E8C" w:rsidP="00453E8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53E8C" w:rsidRPr="00AB73E7" w:rsidRDefault="008B4132" w:rsidP="00453E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odwołanie rozpatruje: </w:t>
      </w:r>
      <w:r>
        <w:rPr>
          <w:rFonts w:ascii="Times New Roman" w:hAnsi="Times New Roman" w:cs="Times New Roman"/>
        </w:rPr>
        <w:t>Samorządowe Kolegium Odwoławcze w Zielo</w:t>
      </w:r>
      <w:r w:rsidR="00BB4C14">
        <w:rPr>
          <w:rFonts w:ascii="Times New Roman" w:hAnsi="Times New Roman" w:cs="Times New Roman"/>
        </w:rPr>
        <w:t>nej</w:t>
      </w:r>
      <w:r>
        <w:rPr>
          <w:rFonts w:ascii="Times New Roman" w:hAnsi="Times New Roman" w:cs="Times New Roman"/>
        </w:rPr>
        <w:t xml:space="preserve"> Górze (ul. Aleja Niepodległości 7, 65-048 Zielona Góra),</w:t>
      </w:r>
    </w:p>
    <w:p w:rsidR="00AB73E7" w:rsidRPr="00AB73E7" w:rsidRDefault="00AB73E7" w:rsidP="00453E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termin odwołania: </w:t>
      </w:r>
      <w:r>
        <w:rPr>
          <w:rFonts w:ascii="Times New Roman" w:hAnsi="Times New Roman" w:cs="Times New Roman"/>
        </w:rPr>
        <w:t>14 dni od dnia doręczenia decyzji; odwołanie należy złożyć za pośrednictwem Burmistrza czerwieńska.</w:t>
      </w:r>
    </w:p>
    <w:p w:rsidR="00AB73E7" w:rsidRPr="00FF6880" w:rsidRDefault="00AB73E7" w:rsidP="00FF68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F6880" w:rsidRDefault="00FF6880" w:rsidP="00FF68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DODATKOWE INFORMACJE</w:t>
      </w:r>
      <w:r w:rsidRPr="00431959">
        <w:rPr>
          <w:rFonts w:ascii="Times New Roman" w:hAnsi="Times New Roman" w:cs="Times New Roman"/>
          <w:b/>
          <w:u w:val="single"/>
        </w:rPr>
        <w:t>:</w:t>
      </w:r>
    </w:p>
    <w:p w:rsidR="00FF6880" w:rsidRDefault="00FF6880" w:rsidP="00FF68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F6880" w:rsidRDefault="00FF6880" w:rsidP="00FF6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o wydanie decyzji dla przedsięwzięć mogących zawsze znacząco oddziaływać na środowisko dołącza się raport o oddziaływania przedsięwzięcia na środowisko, natomiast do wniosku o wydanie decyzji dla przedsięwzięć mogących potencjalnie znacząco oddziaływać na środowisko dołącza się kartę informacyjną przedsięwzięcia,</w:t>
      </w:r>
    </w:p>
    <w:p w:rsidR="00FF6880" w:rsidRDefault="004500B8" w:rsidP="00FF6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 o oddziaływaniu przedsięwzięcia  na środowisko i kartę informacyjna przedsięwzi</w:t>
      </w:r>
      <w:r w:rsidR="00C525D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cia przedkłada się w formie pisemnej oraz na informatycznych nośnikach danych z ich zapisem w formie elektronicznej w liczbie odpowiednio po jednym egzemplarzu</w:t>
      </w:r>
      <w:r w:rsidR="00C525D3">
        <w:rPr>
          <w:rFonts w:ascii="Times New Roman" w:hAnsi="Times New Roman" w:cs="Times New Roman"/>
        </w:rPr>
        <w:t xml:space="preserve"> dla organu prowadzącego postępowanie oraz każdego organu opiniującego i uzgadniającego określonego w ustawie </w:t>
      </w:r>
      <w:r w:rsidR="00BE46CE" w:rsidRPr="00351ED6">
        <w:rPr>
          <w:rFonts w:ascii="Times New Roman" w:hAnsi="Times New Roman" w:cs="Times New Roman"/>
          <w:i/>
        </w:rPr>
        <w:t>o udostępnianiu informacji o środowisku i jego ochronie, udziale społeczeństwa w ochronie środowiska oraz ocenach oddziaływania na środowisko</w:t>
      </w:r>
      <w:r w:rsidR="00BE46CE">
        <w:rPr>
          <w:rFonts w:ascii="Times New Roman" w:hAnsi="Times New Roman" w:cs="Times New Roman"/>
        </w:rPr>
        <w:t xml:space="preserve"> (więcej w podstawie prawnej), oraz dodatkowy egzemplarz w przypadku przedsięwzięć wykraczających poza obszar</w:t>
      </w:r>
      <w:r w:rsidR="00BD1DAC">
        <w:rPr>
          <w:rFonts w:ascii="Times New Roman" w:hAnsi="Times New Roman" w:cs="Times New Roman"/>
        </w:rPr>
        <w:t xml:space="preserve"> gminy,</w:t>
      </w:r>
    </w:p>
    <w:p w:rsidR="00BD1DAC" w:rsidRDefault="00BD1DAC" w:rsidP="00FF6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przedsięwzięcia mogące zawsze lub potencjalnie znacząco oddziaływać na środowisko zostały określone w rozporządzeniu </w:t>
      </w:r>
      <w:r>
        <w:rPr>
          <w:rFonts w:ascii="Times New Roman" w:hAnsi="Times New Roman" w:cs="Times New Roman"/>
          <w:i/>
        </w:rPr>
        <w:t xml:space="preserve">w sprawie przedsięwzięć mogących znacząco </w:t>
      </w:r>
      <w:r w:rsidR="00350B8D">
        <w:rPr>
          <w:rFonts w:ascii="Times New Roman" w:hAnsi="Times New Roman" w:cs="Times New Roman"/>
          <w:i/>
        </w:rPr>
        <w:t xml:space="preserve">oddziaływać na środowisko </w:t>
      </w:r>
      <w:r w:rsidR="00350B8D">
        <w:rPr>
          <w:rFonts w:ascii="Times New Roman" w:hAnsi="Times New Roman" w:cs="Times New Roman"/>
        </w:rPr>
        <w:t>(więcej w podstawie prawnej),</w:t>
      </w:r>
    </w:p>
    <w:p w:rsidR="00350B8D" w:rsidRDefault="00350B8D" w:rsidP="00FF6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może, składając wniosek o wydanie decyzji o środowiskowych uwarunkowaniach dla przedsięwzięć </w:t>
      </w:r>
      <w:r w:rsidR="00600054">
        <w:rPr>
          <w:rFonts w:ascii="Times New Roman" w:hAnsi="Times New Roman" w:cs="Times New Roman"/>
        </w:rPr>
        <w:t>mogących zawsze znacząco oddziaływać na środowisko, przed złożeniem raportu o oddziaływaniu przedsięwzięcia na środowisko, złożyć kartę informacyjną przedsięwzięcia wraz z wnioskiem o ustalenie zakresu raportu; organ określa zakres raportu w drodze po</w:t>
      </w:r>
      <w:r w:rsidR="0090620F">
        <w:rPr>
          <w:rFonts w:ascii="Times New Roman" w:hAnsi="Times New Roman" w:cs="Times New Roman"/>
        </w:rPr>
        <w:t>stanowienia; postepowanie w sprawie wydania decyzji o środowiskowych uwarunkowaniach zawiesza się do czasu przedłożenia przez wnioskodawcę raportu o oddziaływaniu przedsięwzięcia na środowisko,</w:t>
      </w:r>
    </w:p>
    <w:p w:rsidR="0090620F" w:rsidRDefault="00F64482" w:rsidP="00FF6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każdego wniosku należy dołączyć wypis z rejestru gruntów, lub inny dokument wydany przez organ prowadzący ewidencję gruntów i budynków, pozwalający na ustalenie stron postepowania, zwierający co najmniej numer działki ewidencyjnej oraz, o ile zostały ujawnione: numer jej księgi wieczystej, imię i nazwisko albo nazwę oraz adres podmiotu </w:t>
      </w:r>
      <w:r>
        <w:rPr>
          <w:rFonts w:ascii="Times New Roman" w:hAnsi="Times New Roman" w:cs="Times New Roman"/>
        </w:rPr>
        <w:lastRenderedPageBreak/>
        <w:t xml:space="preserve">ewidencyjnego oraz kopię mapy ewidencyjnej, obejmujące przewidywany teren, na którym będzie realizowane przedsięwzięcie oraz obszar, na który będzie oddziaływać </w:t>
      </w:r>
      <w:r w:rsidR="001F5802">
        <w:rPr>
          <w:rFonts w:ascii="Times New Roman" w:hAnsi="Times New Roman" w:cs="Times New Roman"/>
        </w:rPr>
        <w:t>przedsięwzięcie, przy czym jeżeli liczba stron w postepowaniu przekracza 10, nie wymaga się dołączenia wypisu lub innego dokumentu, wydanego przez organ prowadzący ewidencję gruntów i budynków,</w:t>
      </w:r>
    </w:p>
    <w:p w:rsidR="001F5802" w:rsidRDefault="00752709" w:rsidP="00FF6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strona postepowania o wydanie decyzji o środowiskowych uwarunkowaniach jest wnioskodawca oraz podmiot, któremu przysługuje prawo rzeczowe do nieruchomości znajdującej się w obszarze, na który będzie oddziaływać przedsięwzięcie w wariancie zaproponowanym przez wnioskodawcę; </w:t>
      </w:r>
      <w:r w:rsidRPr="00752709">
        <w:rPr>
          <w:rFonts w:ascii="Times New Roman" w:hAnsi="Times New Roman" w:cs="Times New Roman"/>
          <w:b/>
        </w:rPr>
        <w:t>przez obszar ten rozumie się:</w:t>
      </w:r>
    </w:p>
    <w:p w:rsidR="00A06AFE" w:rsidRDefault="00A06AFE" w:rsidP="00A06A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>- przewidywany teren, na którym będzie realizowane przedsięwzięcie, oraz obszar znajdujący się w odległości 100 m od granic tego terenu,</w:t>
      </w:r>
    </w:p>
    <w:p w:rsidR="00A06AFE" w:rsidRDefault="00A06AFE" w:rsidP="00A06A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działki, na których w wyniku realizacji, eksploatacji lub użytkowania przedsięwzięcia zostałyby przekroczone standardy jakości środowiska, lub</w:t>
      </w:r>
    </w:p>
    <w:p w:rsidR="000F4098" w:rsidRDefault="000F4098" w:rsidP="00A06A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działki znajdujące się w zasięgu znaczącego oddziaływania przedsięwzięcia, któr</w:t>
      </w:r>
      <w:r w:rsidR="00402E8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może wprowadzić ograniczenia w zagospodarowaniu nieruchomości, zgodnie z jej aktualnym przeznaczeniem,</w:t>
      </w:r>
    </w:p>
    <w:p w:rsidR="000F4098" w:rsidRDefault="009C400B" w:rsidP="000F40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liczba stron postepowania o wydanie decyzji o środowiskowych uwarunkowaniach przekracza 10, strony mogą być zawiadamiane o decyzjach i innych czynnościach organu przez ogłoszenia (tablice ogłoszeń Urzędu Gminy i Miasta w Czerwieńsku, </w:t>
      </w:r>
      <w:r w:rsidR="00394BA6" w:rsidRPr="00820337">
        <w:rPr>
          <w:rFonts w:ascii="Times New Roman" w:hAnsi="Times New Roman" w:cs="Times New Roman"/>
        </w:rPr>
        <w:t>tablice ogłoszeń w danej miejscowości, w której będzie realizowane przedsięwzięcie</w:t>
      </w:r>
      <w:r w:rsidR="00394BA6">
        <w:rPr>
          <w:rFonts w:ascii="Times New Roman" w:hAnsi="Times New Roman" w:cs="Times New Roman"/>
          <w:color w:val="FF0000"/>
        </w:rPr>
        <w:t xml:space="preserve"> </w:t>
      </w:r>
      <w:r w:rsidR="00394BA6">
        <w:rPr>
          <w:rFonts w:ascii="Times New Roman" w:hAnsi="Times New Roman" w:cs="Times New Roman"/>
        </w:rPr>
        <w:t xml:space="preserve">oraz Biuletyn Informacji Publicznej Urzędu Gminy i Miasta w Czerwieńsku); w tych przypadkach zawiadomienie </w:t>
      </w:r>
      <w:r w:rsidR="005836FD">
        <w:rPr>
          <w:rFonts w:ascii="Times New Roman" w:hAnsi="Times New Roman" w:cs="Times New Roman"/>
        </w:rPr>
        <w:t xml:space="preserve">lub doręczenie uważa się za dokonane po upływie 14 dni </w:t>
      </w:r>
      <w:r w:rsidR="00F9240B">
        <w:rPr>
          <w:rFonts w:ascii="Times New Roman" w:hAnsi="Times New Roman" w:cs="Times New Roman"/>
        </w:rPr>
        <w:t>od dnia publicznego ogłoszenia</w:t>
      </w:r>
      <w:r w:rsidR="00CB4441">
        <w:rPr>
          <w:rFonts w:ascii="Times New Roman" w:hAnsi="Times New Roman" w:cs="Times New Roman"/>
        </w:rPr>
        <w:t>,</w:t>
      </w:r>
    </w:p>
    <w:p w:rsidR="00327291" w:rsidRDefault="00CB4441" w:rsidP="000F40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wydanie </w:t>
      </w:r>
      <w:r w:rsidR="00327291">
        <w:rPr>
          <w:rFonts w:ascii="Times New Roman" w:hAnsi="Times New Roman" w:cs="Times New Roman"/>
        </w:rPr>
        <w:t>decyzji o środowiskowych uwarunkowaniach następuje przed wydaniem następujących decyzji:</w:t>
      </w:r>
    </w:p>
    <w:p w:rsidR="009A30F8" w:rsidRDefault="00327291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pozwoleniu na budowę, decyzji o zatwierdzeniu projektu</w:t>
      </w:r>
      <w:r w:rsidR="009A30F8">
        <w:rPr>
          <w:rFonts w:ascii="Times New Roman" w:hAnsi="Times New Roman" w:cs="Times New Roman"/>
        </w:rPr>
        <w:t xml:space="preserve"> budowlanego, decyzji o pozwoleniu na wznowienie robót budowlanych,</w:t>
      </w:r>
    </w:p>
    <w:p w:rsidR="00CB4441" w:rsidRDefault="00733E68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pozwoleniu na rozbiórkę</w:t>
      </w:r>
      <w:r w:rsidR="00327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obiektów jądrowych,</w:t>
      </w:r>
    </w:p>
    <w:p w:rsidR="00733E68" w:rsidRDefault="00733E68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3265">
        <w:rPr>
          <w:rFonts w:ascii="Times New Roman" w:hAnsi="Times New Roman" w:cs="Times New Roman"/>
        </w:rPr>
        <w:t xml:space="preserve"> </w:t>
      </w:r>
      <w:r w:rsidR="00213425">
        <w:rPr>
          <w:rFonts w:ascii="Times New Roman" w:hAnsi="Times New Roman" w:cs="Times New Roman"/>
        </w:rPr>
        <w:t>decyzji o warunkach zabudowy i zagospodarow</w:t>
      </w:r>
      <w:r w:rsidR="009E3265">
        <w:rPr>
          <w:rFonts w:ascii="Times New Roman" w:hAnsi="Times New Roman" w:cs="Times New Roman"/>
        </w:rPr>
        <w:t>ania,</w:t>
      </w:r>
    </w:p>
    <w:p w:rsidR="009E3265" w:rsidRDefault="00820337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9E3265">
        <w:rPr>
          <w:rFonts w:ascii="Times New Roman" w:hAnsi="Times New Roman" w:cs="Times New Roman"/>
        </w:rPr>
        <w:t xml:space="preserve">oncesji na poszukiwanie lub rozpoznawanie kompleksu podziemnego składowania dwutlenku węgla, koncesji na wydobywanie kopalin ze złóż, koncesji na podziemne </w:t>
      </w:r>
      <w:r w:rsidR="0099415F">
        <w:rPr>
          <w:rFonts w:ascii="Times New Roman" w:hAnsi="Times New Roman" w:cs="Times New Roman"/>
        </w:rPr>
        <w:t xml:space="preserve">bezzbiornikowe magazynowanie substancji, koncesji na podziemne składowanie odpadów </w:t>
      </w:r>
      <w:r w:rsidR="009E3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koncesji na podziemne sk</w:t>
      </w:r>
      <w:r w:rsidR="00533EC6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adowanie dwutlenku węgla,</w:t>
      </w:r>
    </w:p>
    <w:p w:rsidR="00B718C7" w:rsidRDefault="00533EC6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decyzji zatwierdzającej plan ruchu dla wykonywania robót geologicznych związanych z poszukiwaniem i rozpoznawaniem złoża węglowodorów lub decyzji inwestycyjnej w celu wykonywania koncesji na poszukiwanie i rozpoznawanie złoża węglowodorów oraz wydobywanie </w:t>
      </w:r>
      <w:r w:rsidR="00B718C7">
        <w:rPr>
          <w:rFonts w:ascii="Times New Roman" w:hAnsi="Times New Roman" w:cs="Times New Roman"/>
        </w:rPr>
        <w:t>węglowodorów ze złoża.</w:t>
      </w:r>
    </w:p>
    <w:p w:rsidR="00533EC6" w:rsidRDefault="00B718C7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EC6">
        <w:rPr>
          <w:rFonts w:ascii="Times New Roman" w:hAnsi="Times New Roman" w:cs="Times New Roman"/>
        </w:rPr>
        <w:t xml:space="preserve"> </w:t>
      </w:r>
      <w:r w:rsidR="00C24CFF">
        <w:rPr>
          <w:rFonts w:ascii="Times New Roman" w:hAnsi="Times New Roman" w:cs="Times New Roman"/>
        </w:rPr>
        <w:t>decyzji zatwierdzającej plan ruchu dla wykonywania robót geologicznych na podstawie koncesji na poszukiwanie lub rozpoznawanie złoża kapaliny,</w:t>
      </w:r>
    </w:p>
    <w:p w:rsidR="00C24CFF" w:rsidRDefault="00C24CFF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określającej szczegółowe warunki wydobywania kopaliny,</w:t>
      </w:r>
    </w:p>
    <w:p w:rsidR="00C24CFF" w:rsidRDefault="00712C8B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pozwolenia wodnoprawnego na regulację w</w:t>
      </w:r>
      <w:r w:rsidR="002C46A6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d, pozwolenia wodnoprawnego na wykonywanie urządzeń wodnych oraz pozwolenia wodnoprawnego na wydobywanie z wód kamienia, żwiru, pisku oraz innych materiałów,</w:t>
      </w:r>
    </w:p>
    <w:p w:rsidR="00712C8B" w:rsidRDefault="00712C8B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</w:t>
      </w:r>
      <w:r w:rsidR="002C46A6">
        <w:rPr>
          <w:rFonts w:ascii="Times New Roman" w:hAnsi="Times New Roman" w:cs="Times New Roman"/>
        </w:rPr>
        <w:t xml:space="preserve"> zatwierdzeniu projektu scalenia lub wymiany gruntów,</w:t>
      </w:r>
    </w:p>
    <w:p w:rsidR="002C46A6" w:rsidRDefault="002C46A6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zmianie lasu na użytek rolny,</w:t>
      </w:r>
    </w:p>
    <w:p w:rsidR="002C46A6" w:rsidRDefault="002C46A6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zezwoleniu na realizację inwestycji drogowej,</w:t>
      </w:r>
    </w:p>
    <w:p w:rsidR="002C46A6" w:rsidRDefault="002C46A6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ustaleniu lokalizacji linii kolejowej,</w:t>
      </w:r>
    </w:p>
    <w:p w:rsidR="002C46A6" w:rsidRDefault="002C46A6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ustaleniu lokalizacji przedsięwzięć Euro 20123,</w:t>
      </w:r>
    </w:p>
    <w:p w:rsidR="002C46A6" w:rsidRDefault="002C46A6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46D8">
        <w:rPr>
          <w:rFonts w:ascii="Times New Roman" w:hAnsi="Times New Roman" w:cs="Times New Roman"/>
        </w:rPr>
        <w:t>decyzji o zezwoleniu na realizację inwestycji w zakresie lotniska użytku publicznego,</w:t>
      </w:r>
    </w:p>
    <w:p w:rsidR="00C846D8" w:rsidRDefault="00C846D8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ustaleniu lokalizacji inwestycji w zakresie terminalu,</w:t>
      </w:r>
    </w:p>
    <w:p w:rsidR="00C846D8" w:rsidRDefault="00C846D8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ustaleniu lokalizacji regionalnej sieci szerokopasmowej,</w:t>
      </w:r>
    </w:p>
    <w:p w:rsidR="00C846D8" w:rsidRDefault="00C846D8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zezwolenie na prowadzenie obiektu unieszkodliwiania odpadów wydobywczych,</w:t>
      </w:r>
    </w:p>
    <w:p w:rsidR="00C846D8" w:rsidRDefault="00C846D8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pozwoleniu na realizację inwestycji w rozumieniu przepisów ustawy o szczególnych zasadach przygotowania do realizacji inwestycji</w:t>
      </w:r>
      <w:r w:rsidR="0033513D">
        <w:rPr>
          <w:rFonts w:ascii="Times New Roman" w:hAnsi="Times New Roman" w:cs="Times New Roman"/>
        </w:rPr>
        <w:t xml:space="preserve"> w zakresie budowli przeciwpowo</w:t>
      </w:r>
      <w:r>
        <w:rPr>
          <w:rFonts w:ascii="Times New Roman" w:hAnsi="Times New Roman" w:cs="Times New Roman"/>
        </w:rPr>
        <w:t>dziowych,</w:t>
      </w:r>
    </w:p>
    <w:p w:rsidR="00C846D8" w:rsidRDefault="0033513D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decyzji o ustaleniu lokalizacji inwestycji w zakresie budowy obiektu energetyki jądrowej oraz inwestycji towarzyszącej, </w:t>
      </w:r>
    </w:p>
    <w:p w:rsidR="004A7724" w:rsidRDefault="004A7724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zezwolenie na budowę obiektu jądrowego oraz </w:t>
      </w:r>
      <w:r w:rsidR="00115CED">
        <w:rPr>
          <w:rFonts w:ascii="Times New Roman" w:hAnsi="Times New Roman" w:cs="Times New Roman"/>
        </w:rPr>
        <w:t>zezwolenia na budowę składowiska odpadów promieniotwórczych,</w:t>
      </w:r>
    </w:p>
    <w:p w:rsidR="00115CED" w:rsidRDefault="00115CED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DC7">
        <w:rPr>
          <w:rFonts w:ascii="Times New Roman" w:hAnsi="Times New Roman" w:cs="Times New Roman"/>
        </w:rPr>
        <w:t xml:space="preserve">decyzji o zezwoleniu na założenie lotniska, </w:t>
      </w:r>
    </w:p>
    <w:p w:rsidR="00AF6517" w:rsidRDefault="00AF6517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zezwolenia </w:t>
      </w:r>
      <w:r w:rsidR="00F418E6">
        <w:rPr>
          <w:rFonts w:ascii="Times New Roman" w:hAnsi="Times New Roman" w:cs="Times New Roman"/>
        </w:rPr>
        <w:t xml:space="preserve">na zbieranie odpadów, zezwolenia </w:t>
      </w:r>
      <w:r w:rsidR="00A05231">
        <w:rPr>
          <w:rFonts w:ascii="Times New Roman" w:hAnsi="Times New Roman" w:cs="Times New Roman"/>
        </w:rPr>
        <w:t>na przetwarzanie odpadów i zezwolenia na zbieranie i przetwarzanie odpadów,</w:t>
      </w:r>
    </w:p>
    <w:p w:rsidR="00A05231" w:rsidRDefault="00A05231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ustaleniu lokalizacji strategiczne</w:t>
      </w:r>
      <w:r w:rsidR="000149AE">
        <w:rPr>
          <w:rFonts w:ascii="Times New Roman" w:hAnsi="Times New Roman" w:cs="Times New Roman"/>
        </w:rPr>
        <w:t>j inwestycji w zakresie sieci przesyłowej,</w:t>
      </w:r>
    </w:p>
    <w:p w:rsidR="000149AE" w:rsidRDefault="00F63197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decyzji o ustaleniu lokalizacji strategicznej inwestycji w sektorze naftowym,</w:t>
      </w:r>
    </w:p>
    <w:p w:rsidR="00F63197" w:rsidRDefault="00F63197" w:rsidP="00F631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wydawanie decyzji </w:t>
      </w:r>
      <w:r w:rsidR="00AD1861">
        <w:rPr>
          <w:rFonts w:ascii="Times New Roman" w:hAnsi="Times New Roman" w:cs="Times New Roman"/>
        </w:rPr>
        <w:t xml:space="preserve">o środowiskowych uwarunkowaniach następuje również przed dokonaniem zgłoszenia </w:t>
      </w:r>
      <w:r w:rsidR="003C6FF2">
        <w:rPr>
          <w:rFonts w:ascii="Times New Roman" w:hAnsi="Times New Roman" w:cs="Times New Roman"/>
        </w:rPr>
        <w:t xml:space="preserve">budowy lub </w:t>
      </w:r>
      <w:r w:rsidR="00E1276B">
        <w:rPr>
          <w:rFonts w:ascii="Times New Roman" w:hAnsi="Times New Roman" w:cs="Times New Roman"/>
        </w:rPr>
        <w:t xml:space="preserve">wykonania robót budowlanych oraz zgłoszenia zmiany </w:t>
      </w:r>
      <w:r w:rsidR="00A84100">
        <w:rPr>
          <w:rFonts w:ascii="Times New Roman" w:hAnsi="Times New Roman" w:cs="Times New Roman"/>
        </w:rPr>
        <w:t>sposobu użytkowania obiektu</w:t>
      </w:r>
      <w:r w:rsidR="00A65985">
        <w:rPr>
          <w:rFonts w:ascii="Times New Roman" w:hAnsi="Times New Roman" w:cs="Times New Roman"/>
        </w:rPr>
        <w:t xml:space="preserve"> budowlanego </w:t>
      </w:r>
      <w:r w:rsidR="00A84100">
        <w:rPr>
          <w:rFonts w:ascii="Times New Roman" w:hAnsi="Times New Roman" w:cs="Times New Roman"/>
        </w:rPr>
        <w:t xml:space="preserve"> </w:t>
      </w:r>
      <w:r w:rsidR="00A65985">
        <w:rPr>
          <w:rFonts w:ascii="Times New Roman" w:hAnsi="Times New Roman" w:cs="Times New Roman"/>
        </w:rPr>
        <w:t xml:space="preserve">lub jego </w:t>
      </w:r>
      <w:r w:rsidR="005764DF">
        <w:rPr>
          <w:rFonts w:ascii="Times New Roman" w:hAnsi="Times New Roman" w:cs="Times New Roman"/>
        </w:rPr>
        <w:t>części,</w:t>
      </w:r>
    </w:p>
    <w:p w:rsidR="005764DF" w:rsidRDefault="005764DF" w:rsidP="00F631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wydanie decyzji o środowiskowych uwarunkowaniach</w:t>
      </w:r>
      <w:r w:rsidR="007B7537">
        <w:rPr>
          <w:rFonts w:ascii="Times New Roman" w:hAnsi="Times New Roman" w:cs="Times New Roman"/>
        </w:rPr>
        <w:t xml:space="preserve"> następuje również przed podjęciem uchwały o ustaleniu </w:t>
      </w:r>
      <w:r w:rsidR="003843FE">
        <w:rPr>
          <w:rFonts w:ascii="Times New Roman" w:hAnsi="Times New Roman" w:cs="Times New Roman"/>
        </w:rPr>
        <w:t>lokalizacji inwestycji mieszkaniowej lub inwestycji towarzysz</w:t>
      </w:r>
      <w:r w:rsidR="00E056DD">
        <w:rPr>
          <w:rFonts w:ascii="Times New Roman" w:hAnsi="Times New Roman" w:cs="Times New Roman"/>
        </w:rPr>
        <w:t xml:space="preserve">ącej w rozumieniu ustawy z dnia 5 lipca 2018 r. o ułatwieniach w przygotowaniu i realizacji inwestycji mieszkaniowych oraz inwestycji towarzyszących, </w:t>
      </w:r>
    </w:p>
    <w:p w:rsidR="00E056DD" w:rsidRDefault="00E056DD" w:rsidP="00F631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autorem raportu o oddziaływaniu przedsięwzięcia na </w:t>
      </w:r>
      <w:r w:rsidR="00152987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rodowisko, a w przypadku zespołu autorów – kierujący tym zespołem powinna być osob</w:t>
      </w:r>
      <w:r w:rsidR="00152987">
        <w:rPr>
          <w:rFonts w:ascii="Times New Roman" w:hAnsi="Times New Roman" w:cs="Times New Roman"/>
        </w:rPr>
        <w:t>a, która:</w:t>
      </w:r>
    </w:p>
    <w:p w:rsidR="00152987" w:rsidRDefault="00152987" w:rsidP="001529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ukończyła w rozumieniu przepisów o szkolnictwie wyższym, co najmniej studia pierwszego stopnia lub studia drugiego stopnia, lub jednolite studia </w:t>
      </w:r>
      <w:r w:rsidR="00F24546">
        <w:rPr>
          <w:rFonts w:ascii="Times New Roman" w:hAnsi="Times New Roman" w:cs="Times New Roman"/>
        </w:rPr>
        <w:t>magisterskie na kierunkach związanych z kształc</w:t>
      </w:r>
      <w:r w:rsidR="004105A5">
        <w:rPr>
          <w:rFonts w:ascii="Times New Roman" w:hAnsi="Times New Roman" w:cs="Times New Roman"/>
        </w:rPr>
        <w:t xml:space="preserve">eniem w obszarze: nauk ścisłych z dziedzin nauk chemicznych, nauk przyrodniczych z dziedzin nauk biologicznych oraz nauk o Ziemi, nauk technicznych z dziedzin nauk technicznych z dyscyplin: biotechnologia, górnictwo i geologia inżynierska, inżynieria środowiska, nauk rolniczych, leśnych i weterynaryjnych z dziedzin nauk rolniczych, nauk leśnych lub </w:t>
      </w:r>
    </w:p>
    <w:p w:rsidR="004105A5" w:rsidRDefault="004105A5" w:rsidP="001529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ukończyła w rozumieniu przepisów o szkolnictwie wyższym i nauce, studnia pierwszego stopnia lub drugiego stopnia lub </w:t>
      </w:r>
      <w:r w:rsidR="00D6276B">
        <w:rPr>
          <w:rFonts w:ascii="Times New Roman" w:hAnsi="Times New Roman" w:cs="Times New Roman"/>
        </w:rPr>
        <w:t xml:space="preserve">jednolite studia magisterskie, i posiada co najmniej 3-letnie doświadczenie w pracach w zespołach autorów przygotowujących raport o oddziaływaniu </w:t>
      </w:r>
      <w:r w:rsidR="009B5EA8">
        <w:rPr>
          <w:rFonts w:ascii="Times New Roman" w:hAnsi="Times New Roman" w:cs="Times New Roman"/>
        </w:rPr>
        <w:t xml:space="preserve">przedsięwzięcia na środowisko lub prognozy oddziaływania na środowisko lub była, co najmniej pięciokrotnie członkiem zespołów autorów przygotowujących raport o oddziaływaniu na środowisko lub prognozy oddziaływania na </w:t>
      </w:r>
      <w:r w:rsidR="00A00160">
        <w:rPr>
          <w:rFonts w:ascii="Times New Roman" w:hAnsi="Times New Roman" w:cs="Times New Roman"/>
        </w:rPr>
        <w:t>środowisko,</w:t>
      </w:r>
    </w:p>
    <w:p w:rsidR="00A00160" w:rsidRDefault="00D34E8B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postępowania administracyjnego w sprawie wydania decyzji dla przedsięwzięć mogących potencjalnie znacząco oddziaływać na środowisko organ może nałożyć obowiązek przeprowadzenia oceny oddziaływania przedsięwzięcia na środowisko,</w:t>
      </w:r>
    </w:p>
    <w:p w:rsidR="00D34E8B" w:rsidRDefault="003F7405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oddziaływania przedsięwzięcia na środowisko przeprowadza się w ramach postępowania w sprawie wydania decyzji o środowiskowych uwarunkowaniach,</w:t>
      </w:r>
    </w:p>
    <w:p w:rsidR="003F7405" w:rsidRDefault="003F7405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przedsięwzięć realizowanych w całości lub w części na terenie zamkniętych ustalonym przez MONB dla całego przedsięwzięcia decyzję o środowiskowych uwarunkowaniach wydaje Regionalny Dyrektor Ochrony Środowiska ,</w:t>
      </w:r>
    </w:p>
    <w:p w:rsidR="00B36084" w:rsidRDefault="00B36084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oceny oddziaływania przedsięwzięcia na środowisko dokonuje się również oceny oddziaływania przedsięwzięcia na obszary Natura 2000</w:t>
      </w:r>
      <w:r w:rsidR="00FC2E70">
        <w:rPr>
          <w:rFonts w:ascii="Times New Roman" w:hAnsi="Times New Roman" w:cs="Times New Roman"/>
        </w:rPr>
        <w:t>,</w:t>
      </w:r>
    </w:p>
    <w:p w:rsidR="00FC2E70" w:rsidRDefault="00AD246B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wydaniem decyzji o środowiskowych uwaru</w:t>
      </w:r>
      <w:r w:rsidR="00924137">
        <w:rPr>
          <w:rFonts w:ascii="Times New Roman" w:hAnsi="Times New Roman" w:cs="Times New Roman"/>
        </w:rPr>
        <w:t>nkowaniach organ zapewnia możliwość udziału społeczeństwa w postępowaniu, w ram</w:t>
      </w:r>
      <w:r w:rsidR="004209EE">
        <w:rPr>
          <w:rFonts w:ascii="Times New Roman" w:hAnsi="Times New Roman" w:cs="Times New Roman"/>
        </w:rPr>
        <w:t>a</w:t>
      </w:r>
      <w:r w:rsidR="00924137">
        <w:rPr>
          <w:rFonts w:ascii="Times New Roman" w:hAnsi="Times New Roman" w:cs="Times New Roman"/>
        </w:rPr>
        <w:t>ch którego przeprowadza ocenę oddziaływania przedsięwzięcia na środowisko,</w:t>
      </w:r>
    </w:p>
    <w:p w:rsidR="00924137" w:rsidRDefault="00924137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organizacje ekologiczne, które powołując się na swoje cele statutowe, zgłoszą chęć uczestniczenia w określonym postepowaniu wymagającym udziału społeczeństwa, ucze</w:t>
      </w:r>
      <w:r w:rsidR="004209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tniczą w nim na prawach strony;</w:t>
      </w:r>
      <w:r w:rsidR="004209EE">
        <w:rPr>
          <w:rFonts w:ascii="Times New Roman" w:hAnsi="Times New Roman" w:cs="Times New Roman"/>
        </w:rPr>
        <w:t xml:space="preserve"> organizacji ekologicznej służy prawo wniesienia odwołania od decyzji wydanej w postępowaniu wymagającym udziału społeczeństwa, jeżeli jest to uzasadnione </w:t>
      </w:r>
      <w:r w:rsidR="00E11C41">
        <w:rPr>
          <w:rFonts w:ascii="Times New Roman" w:hAnsi="Times New Roman" w:cs="Times New Roman"/>
        </w:rPr>
        <w:t>celami statutowymi tej organizacji, także w przypadku, gdy nie brała ona udziału w określonym postępowaniu wymagającym udziału społeczeństwa prowadzonym przez organ pierwszej instancji; wniesienie odwołania jest równoznaczne ze zgłoszeniem ch</w:t>
      </w:r>
      <w:r w:rsidR="0094597B">
        <w:rPr>
          <w:rFonts w:ascii="Times New Roman" w:hAnsi="Times New Roman" w:cs="Times New Roman"/>
        </w:rPr>
        <w:t>ę</w:t>
      </w:r>
      <w:r w:rsidR="00E11C41">
        <w:rPr>
          <w:rFonts w:ascii="Times New Roman" w:hAnsi="Times New Roman" w:cs="Times New Roman"/>
        </w:rPr>
        <w:t>ci uczestnic</w:t>
      </w:r>
      <w:r w:rsidR="0094597B">
        <w:rPr>
          <w:rFonts w:ascii="Times New Roman" w:hAnsi="Times New Roman" w:cs="Times New Roman"/>
        </w:rPr>
        <w:t>zenia w takim postepowaniu,</w:t>
      </w:r>
    </w:p>
    <w:p w:rsidR="0094597B" w:rsidRDefault="0094597B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o środowiskowych uwarunkowaniach wydana przed uzyskaniem decyzji o zezwoleniu na realizacje inwestycji drogowej, w której wskazano działki konieczne do przeprowadzenia </w:t>
      </w:r>
      <w:r>
        <w:rPr>
          <w:rFonts w:ascii="Times New Roman" w:hAnsi="Times New Roman" w:cs="Times New Roman"/>
        </w:rPr>
        <w:lastRenderedPageBreak/>
        <w:t xml:space="preserve">prac przygotowawczych,  stanowi podstawę do wykonania prac polegających </w:t>
      </w:r>
      <w:r w:rsidR="00822C2D">
        <w:rPr>
          <w:rFonts w:ascii="Times New Roman" w:hAnsi="Times New Roman" w:cs="Times New Roman"/>
        </w:rPr>
        <w:t xml:space="preserve">na wycince drzew i krzewów, przeprowadzenia nadań archeologicznych lub geologicznych, a także przeprowadzania kompensacji przyrodniczej na nieruchomościach stanowiących własność Skarbu Państwa, zarządzanych przez Państwowe Gospodarstwo Leśne Lasy Państwowe zgodnie z ustawą z dnia 28 września 1991 r. o lasach. Decyzja o środowiskowych uwarunkowaniach uprawnia do nieodpłatnego wejścia na teren, na którym jest </w:t>
      </w:r>
      <w:r w:rsidR="001F6CA3">
        <w:rPr>
          <w:rFonts w:ascii="Times New Roman" w:hAnsi="Times New Roman" w:cs="Times New Roman"/>
        </w:rPr>
        <w:t>przewidywana realizacja inwestycji, celem wykonania tych prac,</w:t>
      </w:r>
    </w:p>
    <w:p w:rsidR="001F6CA3" w:rsidRDefault="001F6CA3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decyzji o środowiskowych uwarunkowaniach maja zastosowanie wszystkie przepisy jak dla wydania decyzji o środowiskowych uwarunkowaniach,</w:t>
      </w:r>
    </w:p>
    <w:p w:rsidR="001F6CA3" w:rsidRPr="00AD157E" w:rsidRDefault="001F119D" w:rsidP="00A001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osoba działająca w imieniu wnioskodawcy ma obowiązek przedłożenia oryginału lub urzędowo potwierdzonej kopii pełnomocnictwa wraz z dowodem wniesienia należnej opłaty skarbowej z</w:t>
      </w:r>
      <w:r w:rsidR="00AD15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złożeni</w:t>
      </w:r>
      <w:r w:rsidR="00AD15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AD157E">
        <w:rPr>
          <w:rFonts w:ascii="Times New Roman" w:hAnsi="Times New Roman" w:cs="Times New Roman"/>
        </w:rPr>
        <w:t xml:space="preserve">pełnomocnictwa w </w:t>
      </w:r>
      <w:r w:rsidR="00AD157E" w:rsidRPr="00AD157E">
        <w:rPr>
          <w:rFonts w:ascii="Times New Roman" w:hAnsi="Times New Roman" w:cs="Times New Roman"/>
          <w:b/>
        </w:rPr>
        <w:t>wysokości 17,00 zł,</w:t>
      </w:r>
    </w:p>
    <w:p w:rsidR="00452DA5" w:rsidRDefault="00AD157E" w:rsidP="00452DA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ochrona danych osobowych: </w:t>
      </w:r>
      <w:r w:rsidR="00B254C3" w:rsidRPr="00B254C3">
        <w:rPr>
          <w:rFonts w:ascii="Times New Roman" w:hAnsi="Times New Roman" w:cs="Times New Roman"/>
        </w:rPr>
        <w:t xml:space="preserve">administratorem </w:t>
      </w:r>
      <w:r w:rsidR="00072EE8">
        <w:rPr>
          <w:rFonts w:ascii="Times New Roman" w:hAnsi="Times New Roman" w:cs="Times New Roman"/>
        </w:rPr>
        <w:t>danych osobowych przetwa</w:t>
      </w:r>
      <w:r w:rsidR="00C06C9B">
        <w:rPr>
          <w:rFonts w:ascii="Times New Roman" w:hAnsi="Times New Roman" w:cs="Times New Roman"/>
        </w:rPr>
        <w:t>rzanych w zwi</w:t>
      </w:r>
      <w:r w:rsidR="000303D6">
        <w:rPr>
          <w:rFonts w:ascii="Times New Roman" w:hAnsi="Times New Roman" w:cs="Times New Roman"/>
        </w:rPr>
        <w:t xml:space="preserve">ązku </w:t>
      </w:r>
      <w:r w:rsidR="00E43335">
        <w:rPr>
          <w:rFonts w:ascii="Times New Roman" w:hAnsi="Times New Roman" w:cs="Times New Roman"/>
        </w:rPr>
        <w:t xml:space="preserve">z uzyskaniem </w:t>
      </w:r>
      <w:r w:rsidR="00DB322B">
        <w:rPr>
          <w:rFonts w:ascii="Times New Roman" w:hAnsi="Times New Roman" w:cs="Times New Roman"/>
        </w:rPr>
        <w:t xml:space="preserve">decyzji o środowiskowych uwarunkowaniach jest Burmistrz </w:t>
      </w:r>
      <w:r w:rsidR="0096394A">
        <w:rPr>
          <w:rFonts w:ascii="Times New Roman" w:hAnsi="Times New Roman" w:cs="Times New Roman"/>
        </w:rPr>
        <w:t xml:space="preserve">Czerwieńska; </w:t>
      </w:r>
      <w:r w:rsidR="00EB451A">
        <w:rPr>
          <w:rFonts w:ascii="Times New Roman" w:hAnsi="Times New Roman" w:cs="Times New Roman"/>
        </w:rPr>
        <w:t xml:space="preserve">przetwarzanie danych jest niezbędne w celu wypełnienia obowiązku prawnego wynikającego z ustawy o udostępnieniu informacji o środowisku i jego ochronie, udziale społeczeństwa w ochronie środowiska oraz ocenach oddziaływania na środowisko; ma Pan/Pani prawo dostępu do treści swoich danych oraz żądania ich </w:t>
      </w:r>
      <w:r w:rsidR="00626E35">
        <w:rPr>
          <w:rFonts w:ascii="Times New Roman" w:hAnsi="Times New Roman" w:cs="Times New Roman"/>
        </w:rPr>
        <w:t xml:space="preserve">sprostowania, usunięcia </w:t>
      </w:r>
      <w:r w:rsidR="002E7AA5">
        <w:rPr>
          <w:rFonts w:ascii="Times New Roman" w:hAnsi="Times New Roman" w:cs="Times New Roman"/>
        </w:rPr>
        <w:t>lub ograniczenia ich przetwarzania, prawo wniesienia sprzeciwu wobec przetwarzania</w:t>
      </w:r>
      <w:r w:rsidR="008E24B3">
        <w:rPr>
          <w:rFonts w:ascii="Times New Roman" w:hAnsi="Times New Roman" w:cs="Times New Roman"/>
        </w:rPr>
        <w:t xml:space="preserve">, prawo do przenoszenia danych; szczegółowe informacje dotyczące ochrony danych osobowych w związku </w:t>
      </w:r>
      <w:r w:rsidR="00291733">
        <w:rPr>
          <w:rFonts w:ascii="Times New Roman" w:hAnsi="Times New Roman" w:cs="Times New Roman"/>
        </w:rPr>
        <w:t xml:space="preserve">z uzyskaniem decyzji o środowiskowych uwarunkowaniach są dostępne w Biuletynie Informacji Publicznej w dziale: </w:t>
      </w:r>
      <w:r w:rsidR="00452DA5">
        <w:rPr>
          <w:rFonts w:ascii="Times New Roman" w:hAnsi="Times New Roman" w:cs="Times New Roman"/>
        </w:rPr>
        <w:t>Co i jak załatwić / Gospodarka Gruntami, Rolnictwa i Ochrona Środowiska,</w:t>
      </w:r>
      <w:r w:rsidR="00452DA5">
        <w:rPr>
          <w:rFonts w:ascii="Times New Roman" w:hAnsi="Times New Roman" w:cs="Times New Roman"/>
        </w:rPr>
        <w:t xml:space="preserve"> oraz </w:t>
      </w:r>
      <w:r w:rsidR="00721593">
        <w:rPr>
          <w:rFonts w:ascii="Times New Roman" w:hAnsi="Times New Roman" w:cs="Times New Roman"/>
        </w:rPr>
        <w:t>w siedzibie Urzędzie Gminy i Miasta w Czerwieńsku – Referat Gospodarki Gruntami i Ochrony Środowiska, ul. Ogrodowa 9,I piętro, pokój nr 1</w:t>
      </w:r>
      <w:r w:rsidR="00721593">
        <w:rPr>
          <w:rFonts w:ascii="Times New Roman" w:hAnsi="Times New Roman" w:cs="Times New Roman"/>
        </w:rPr>
        <w:t>,</w:t>
      </w:r>
    </w:p>
    <w:p w:rsidR="00AD157E" w:rsidRDefault="00AD157E" w:rsidP="00721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593" w:rsidRDefault="00721593" w:rsidP="0072159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</w:t>
      </w:r>
      <w:r w:rsidRPr="00431959">
        <w:rPr>
          <w:rFonts w:ascii="Times New Roman" w:hAnsi="Times New Roman" w:cs="Times New Roman"/>
          <w:b/>
          <w:u w:val="single"/>
        </w:rPr>
        <w:t>:</w:t>
      </w:r>
    </w:p>
    <w:p w:rsidR="00721593" w:rsidRDefault="00721593" w:rsidP="0072159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21593" w:rsidRPr="00681165" w:rsidRDefault="00721593" w:rsidP="007215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ustawa z dnia 3 października 2008 r. </w:t>
      </w:r>
      <w:r>
        <w:rPr>
          <w:rFonts w:ascii="Times New Roman" w:hAnsi="Times New Roman" w:cs="Times New Roman"/>
          <w:i/>
        </w:rPr>
        <w:t xml:space="preserve">o udostępnianiu informacji </w:t>
      </w:r>
      <w:r w:rsidR="00681165">
        <w:rPr>
          <w:rFonts w:ascii="Times New Roman" w:hAnsi="Times New Roman" w:cs="Times New Roman"/>
          <w:i/>
        </w:rPr>
        <w:t>o środowisku i jego ochronie,</w:t>
      </w:r>
    </w:p>
    <w:p w:rsidR="00681165" w:rsidRDefault="00681165" w:rsidP="0068116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udziale społeczeństwa w ochronie środowiska oraz ocenach oddziaływania na środowisko </w:t>
      </w:r>
      <w:r>
        <w:rPr>
          <w:rFonts w:ascii="Times New Roman" w:hAnsi="Times New Roman" w:cs="Times New Roman"/>
        </w:rPr>
        <w:t xml:space="preserve">(Dz. U. </w:t>
      </w:r>
      <w:r w:rsidR="00342347">
        <w:rPr>
          <w:rFonts w:ascii="Times New Roman" w:hAnsi="Times New Roman" w:cs="Times New Roman"/>
        </w:rPr>
        <w:t>z 2018 r. poz. 2081 ze zm.),</w:t>
      </w:r>
    </w:p>
    <w:p w:rsidR="00342347" w:rsidRDefault="00342347" w:rsidP="003423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347">
        <w:rPr>
          <w:rFonts w:ascii="Times New Roman" w:hAnsi="Times New Roman" w:cs="Times New Roman"/>
        </w:rPr>
        <w:t xml:space="preserve">rozporządzenie Rady Ministrów z dnia 10 września 2019 r. </w:t>
      </w:r>
      <w:r>
        <w:rPr>
          <w:rFonts w:ascii="Times New Roman" w:hAnsi="Times New Roman" w:cs="Times New Roman"/>
          <w:i/>
        </w:rPr>
        <w:t xml:space="preserve">w sprawie przedsięwzięć mogących znacząco oddziaływać na środowisko </w:t>
      </w:r>
      <w:r>
        <w:rPr>
          <w:rFonts w:ascii="Times New Roman" w:hAnsi="Times New Roman" w:cs="Times New Roman"/>
        </w:rPr>
        <w:t>(Dz. U., poz. 1839),</w:t>
      </w:r>
    </w:p>
    <w:p w:rsidR="00342347" w:rsidRDefault="00BA452E" w:rsidP="003423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16 listopada 2006 r. </w:t>
      </w:r>
      <w:r>
        <w:rPr>
          <w:rFonts w:ascii="Times New Roman" w:hAnsi="Times New Roman" w:cs="Times New Roman"/>
          <w:i/>
        </w:rPr>
        <w:t xml:space="preserve">o opłacie skarbowej </w:t>
      </w:r>
      <w:r>
        <w:rPr>
          <w:rFonts w:ascii="Times New Roman" w:hAnsi="Times New Roman" w:cs="Times New Roman"/>
        </w:rPr>
        <w:t xml:space="preserve"> (Dz. U. z 2019 r., poz. 1000 ze zm.),</w:t>
      </w:r>
    </w:p>
    <w:p w:rsidR="00BA452E" w:rsidRPr="00342347" w:rsidRDefault="00BA452E" w:rsidP="003423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14 czerwca 1960 r. </w:t>
      </w:r>
      <w:r>
        <w:rPr>
          <w:rFonts w:ascii="Times New Roman" w:hAnsi="Times New Roman" w:cs="Times New Roman"/>
          <w:i/>
        </w:rPr>
        <w:t xml:space="preserve">Kodeks postepowania administracyjnego </w:t>
      </w:r>
      <w:r>
        <w:rPr>
          <w:rFonts w:ascii="Times New Roman" w:hAnsi="Times New Roman" w:cs="Times New Roman"/>
        </w:rPr>
        <w:t>(Dz. U. z 2018 r., poz. 2096 ze zm.).</w:t>
      </w:r>
    </w:p>
    <w:p w:rsidR="00721593" w:rsidRPr="00721593" w:rsidRDefault="00721593" w:rsidP="00721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CA3" w:rsidRPr="00A00160" w:rsidRDefault="001F6CA3" w:rsidP="001F6CA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20337" w:rsidRPr="000F4098" w:rsidRDefault="00820337" w:rsidP="0032729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A55B1" w:rsidRPr="000874B9" w:rsidRDefault="004A55B1" w:rsidP="000874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8F1" w:rsidRPr="004468F1" w:rsidRDefault="004468F1" w:rsidP="004468F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sectPr w:rsidR="004468F1" w:rsidRPr="0044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785"/>
    <w:multiLevelType w:val="hybridMultilevel"/>
    <w:tmpl w:val="504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70876"/>
    <w:multiLevelType w:val="hybridMultilevel"/>
    <w:tmpl w:val="A768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151A3"/>
    <w:multiLevelType w:val="hybridMultilevel"/>
    <w:tmpl w:val="C702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14FDF"/>
    <w:multiLevelType w:val="hybridMultilevel"/>
    <w:tmpl w:val="2890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2"/>
    <w:rsid w:val="000149AE"/>
    <w:rsid w:val="00024688"/>
    <w:rsid w:val="000303D6"/>
    <w:rsid w:val="00062CDA"/>
    <w:rsid w:val="00070808"/>
    <w:rsid w:val="00072EE8"/>
    <w:rsid w:val="000874B9"/>
    <w:rsid w:val="00094DD3"/>
    <w:rsid w:val="000C36D2"/>
    <w:rsid w:val="000C4797"/>
    <w:rsid w:val="000D1FE9"/>
    <w:rsid w:val="000F3F17"/>
    <w:rsid w:val="000F4098"/>
    <w:rsid w:val="00115CED"/>
    <w:rsid w:val="00127241"/>
    <w:rsid w:val="00152987"/>
    <w:rsid w:val="00182B12"/>
    <w:rsid w:val="001B06AA"/>
    <w:rsid w:val="001F119D"/>
    <w:rsid w:val="001F5802"/>
    <w:rsid w:val="001F6CA3"/>
    <w:rsid w:val="00213425"/>
    <w:rsid w:val="00256C19"/>
    <w:rsid w:val="00291733"/>
    <w:rsid w:val="002C46A6"/>
    <w:rsid w:val="002E7AA5"/>
    <w:rsid w:val="00327291"/>
    <w:rsid w:val="0033513D"/>
    <w:rsid w:val="00342347"/>
    <w:rsid w:val="00350B8D"/>
    <w:rsid w:val="00351ED6"/>
    <w:rsid w:val="003712DD"/>
    <w:rsid w:val="003843FE"/>
    <w:rsid w:val="00394BA6"/>
    <w:rsid w:val="003C6FF2"/>
    <w:rsid w:val="003F7405"/>
    <w:rsid w:val="00402E8C"/>
    <w:rsid w:val="004105A5"/>
    <w:rsid w:val="004209EE"/>
    <w:rsid w:val="00431959"/>
    <w:rsid w:val="004468F1"/>
    <w:rsid w:val="004500B8"/>
    <w:rsid w:val="00452DA5"/>
    <w:rsid w:val="00453E8C"/>
    <w:rsid w:val="004A55B1"/>
    <w:rsid w:val="004A7724"/>
    <w:rsid w:val="004C3EFC"/>
    <w:rsid w:val="00503F0E"/>
    <w:rsid w:val="00533EC6"/>
    <w:rsid w:val="00535D40"/>
    <w:rsid w:val="005764DF"/>
    <w:rsid w:val="005836FD"/>
    <w:rsid w:val="005852FC"/>
    <w:rsid w:val="00600054"/>
    <w:rsid w:val="00626E35"/>
    <w:rsid w:val="00656AFD"/>
    <w:rsid w:val="0066014D"/>
    <w:rsid w:val="00665C5E"/>
    <w:rsid w:val="006709B0"/>
    <w:rsid w:val="00681165"/>
    <w:rsid w:val="006C7C1B"/>
    <w:rsid w:val="006D7284"/>
    <w:rsid w:val="00711618"/>
    <w:rsid w:val="00712C8B"/>
    <w:rsid w:val="00721593"/>
    <w:rsid w:val="00727510"/>
    <w:rsid w:val="00733E68"/>
    <w:rsid w:val="00744AA3"/>
    <w:rsid w:val="00744D95"/>
    <w:rsid w:val="00752709"/>
    <w:rsid w:val="007B7537"/>
    <w:rsid w:val="007C5456"/>
    <w:rsid w:val="00803CAA"/>
    <w:rsid w:val="008174F1"/>
    <w:rsid w:val="00820337"/>
    <w:rsid w:val="00820E7D"/>
    <w:rsid w:val="0082106F"/>
    <w:rsid w:val="00822C2D"/>
    <w:rsid w:val="008431F2"/>
    <w:rsid w:val="008B28B4"/>
    <w:rsid w:val="008B4132"/>
    <w:rsid w:val="008E24B3"/>
    <w:rsid w:val="0090620F"/>
    <w:rsid w:val="00924137"/>
    <w:rsid w:val="0094597B"/>
    <w:rsid w:val="00952C2E"/>
    <w:rsid w:val="00954F4A"/>
    <w:rsid w:val="0096394A"/>
    <w:rsid w:val="00970389"/>
    <w:rsid w:val="0098492C"/>
    <w:rsid w:val="0099415F"/>
    <w:rsid w:val="009A30F8"/>
    <w:rsid w:val="009A3C4D"/>
    <w:rsid w:val="009A6DEA"/>
    <w:rsid w:val="009B5EA8"/>
    <w:rsid w:val="009C400B"/>
    <w:rsid w:val="009E1DC7"/>
    <w:rsid w:val="009E2292"/>
    <w:rsid w:val="009E3265"/>
    <w:rsid w:val="00A00160"/>
    <w:rsid w:val="00A05231"/>
    <w:rsid w:val="00A06ACE"/>
    <w:rsid w:val="00A06AFE"/>
    <w:rsid w:val="00A6322C"/>
    <w:rsid w:val="00A6560E"/>
    <w:rsid w:val="00A65985"/>
    <w:rsid w:val="00A754F7"/>
    <w:rsid w:val="00A84100"/>
    <w:rsid w:val="00AB590A"/>
    <w:rsid w:val="00AB73E7"/>
    <w:rsid w:val="00AC40E7"/>
    <w:rsid w:val="00AD157E"/>
    <w:rsid w:val="00AD1861"/>
    <w:rsid w:val="00AD246B"/>
    <w:rsid w:val="00AF6517"/>
    <w:rsid w:val="00B00D46"/>
    <w:rsid w:val="00B10894"/>
    <w:rsid w:val="00B10EC2"/>
    <w:rsid w:val="00B254C3"/>
    <w:rsid w:val="00B36084"/>
    <w:rsid w:val="00B46D70"/>
    <w:rsid w:val="00B718C7"/>
    <w:rsid w:val="00BA452E"/>
    <w:rsid w:val="00BB39B3"/>
    <w:rsid w:val="00BB4C14"/>
    <w:rsid w:val="00BD1DAC"/>
    <w:rsid w:val="00BE2700"/>
    <w:rsid w:val="00BE46CE"/>
    <w:rsid w:val="00BE4F89"/>
    <w:rsid w:val="00C06C9B"/>
    <w:rsid w:val="00C24CFF"/>
    <w:rsid w:val="00C50C3D"/>
    <w:rsid w:val="00C525D3"/>
    <w:rsid w:val="00C846D8"/>
    <w:rsid w:val="00C9502E"/>
    <w:rsid w:val="00CB4441"/>
    <w:rsid w:val="00D34E8B"/>
    <w:rsid w:val="00D6276B"/>
    <w:rsid w:val="00D761F9"/>
    <w:rsid w:val="00D878F9"/>
    <w:rsid w:val="00DB322B"/>
    <w:rsid w:val="00DF1FE6"/>
    <w:rsid w:val="00E056DD"/>
    <w:rsid w:val="00E11C41"/>
    <w:rsid w:val="00E1276B"/>
    <w:rsid w:val="00E43335"/>
    <w:rsid w:val="00E662BF"/>
    <w:rsid w:val="00E84B1D"/>
    <w:rsid w:val="00EB451A"/>
    <w:rsid w:val="00EB485B"/>
    <w:rsid w:val="00F17BCB"/>
    <w:rsid w:val="00F17DD2"/>
    <w:rsid w:val="00F24546"/>
    <w:rsid w:val="00F26041"/>
    <w:rsid w:val="00F418E6"/>
    <w:rsid w:val="00F63197"/>
    <w:rsid w:val="00F64482"/>
    <w:rsid w:val="00F74376"/>
    <w:rsid w:val="00F9240B"/>
    <w:rsid w:val="00F95C88"/>
    <w:rsid w:val="00FA77AC"/>
    <w:rsid w:val="00FC2E70"/>
    <w:rsid w:val="00FC308C"/>
    <w:rsid w:val="00FF1FC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4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4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grios3@czerwie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0F88-72CC-4DD5-8402-01F28CD3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2895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24</cp:revision>
  <dcterms:created xsi:type="dcterms:W3CDTF">2019-10-25T07:25:00Z</dcterms:created>
  <dcterms:modified xsi:type="dcterms:W3CDTF">2019-10-28T10:08:00Z</dcterms:modified>
</cp:coreProperties>
</file>